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6E" w:rsidRDefault="00FF5A6E" w:rsidP="001C4AF1">
      <w:pPr>
        <w:jc w:val="center"/>
        <w:rPr>
          <w:b/>
          <w:sz w:val="28"/>
          <w:szCs w:val="28"/>
        </w:rPr>
      </w:pPr>
    </w:p>
    <w:p w:rsidR="00FF5A6E" w:rsidRDefault="00FF5A6E" w:rsidP="001C4AF1">
      <w:pPr>
        <w:jc w:val="center"/>
        <w:rPr>
          <w:b/>
          <w:sz w:val="28"/>
          <w:szCs w:val="28"/>
        </w:rPr>
      </w:pPr>
    </w:p>
    <w:p w:rsidR="00FF5A6E" w:rsidRDefault="00FF5A6E" w:rsidP="001C4AF1">
      <w:pPr>
        <w:jc w:val="center"/>
        <w:rPr>
          <w:b/>
          <w:sz w:val="28"/>
          <w:szCs w:val="28"/>
        </w:rPr>
      </w:pPr>
    </w:p>
    <w:p w:rsidR="00FF5A6E" w:rsidRPr="009533D1" w:rsidRDefault="00FF5A6E" w:rsidP="001C4AF1">
      <w:pPr>
        <w:jc w:val="center"/>
        <w:rPr>
          <w:b/>
          <w:sz w:val="32"/>
          <w:szCs w:val="32"/>
        </w:rPr>
      </w:pPr>
      <w:r w:rsidRPr="009533D1">
        <w:rPr>
          <w:b/>
          <w:sz w:val="32"/>
          <w:szCs w:val="32"/>
        </w:rPr>
        <w:t>Collateral and Debt Capacity in the Optimal Capital Structure</w:t>
      </w:r>
    </w:p>
    <w:p w:rsidR="00FF5A6E" w:rsidRDefault="00FF5A6E" w:rsidP="001C4AF1">
      <w:pPr>
        <w:jc w:val="center"/>
        <w:rPr>
          <w:b/>
          <w:sz w:val="28"/>
          <w:szCs w:val="28"/>
        </w:rPr>
      </w:pPr>
    </w:p>
    <w:p w:rsidR="00FF5A6E" w:rsidRDefault="00FF5A6E" w:rsidP="001C4AF1">
      <w:pPr>
        <w:jc w:val="center"/>
        <w:rPr>
          <w:b/>
          <w:sz w:val="28"/>
          <w:szCs w:val="28"/>
        </w:rPr>
      </w:pPr>
    </w:p>
    <w:p w:rsidR="00FF5A6E" w:rsidRDefault="00FF5A6E" w:rsidP="001C4AF1">
      <w:pPr>
        <w:jc w:val="center"/>
        <w:rPr>
          <w:b/>
          <w:sz w:val="28"/>
          <w:szCs w:val="28"/>
        </w:rPr>
      </w:pPr>
    </w:p>
    <w:p w:rsidR="00FF5A6E" w:rsidRDefault="00FF5A6E" w:rsidP="001C4AF1">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2"/>
        <w:gridCol w:w="3192"/>
        <w:gridCol w:w="3192"/>
      </w:tblGrid>
      <w:tr w:rsidR="009533D1" w:rsidTr="009533D1">
        <w:tc>
          <w:tcPr>
            <w:tcW w:w="3192" w:type="dxa"/>
          </w:tcPr>
          <w:p w:rsidR="009533D1" w:rsidRDefault="009533D1" w:rsidP="009533D1">
            <w:pPr>
              <w:jc w:val="center"/>
              <w:rPr>
                <w:lang w:val="pt-PT"/>
              </w:rPr>
            </w:pPr>
            <w:r w:rsidRPr="0076277D">
              <w:rPr>
                <w:lang w:val="pt-PT"/>
              </w:rPr>
              <w:t>Erasmo Giambona</w:t>
            </w:r>
          </w:p>
          <w:p w:rsidR="009533D1" w:rsidRDefault="009533D1" w:rsidP="009533D1">
            <w:pPr>
              <w:jc w:val="center"/>
            </w:pPr>
            <w:r w:rsidRPr="001C4AF1">
              <w:t>University of Amsterdam</w:t>
            </w:r>
          </w:p>
          <w:p w:rsidR="009533D1" w:rsidRDefault="001F623A" w:rsidP="009533D1">
            <w:pPr>
              <w:jc w:val="center"/>
            </w:pPr>
            <w:hyperlink r:id="rId7" w:history="1">
              <w:r w:rsidR="009533D1" w:rsidRPr="00331ED0">
                <w:rPr>
                  <w:rStyle w:val="Hyperlink"/>
                </w:rPr>
                <w:t>e.giambona@uva.nl</w:t>
              </w:r>
            </w:hyperlink>
          </w:p>
        </w:tc>
        <w:tc>
          <w:tcPr>
            <w:tcW w:w="3192" w:type="dxa"/>
          </w:tcPr>
          <w:p w:rsidR="009533D1" w:rsidRDefault="009533D1" w:rsidP="009533D1">
            <w:pPr>
              <w:jc w:val="center"/>
              <w:rPr>
                <w:lang w:val="pt-PT"/>
              </w:rPr>
            </w:pPr>
            <w:r w:rsidRPr="0076277D">
              <w:rPr>
                <w:lang w:val="pt-PT"/>
              </w:rPr>
              <w:t>Antonio Mello</w:t>
            </w:r>
          </w:p>
          <w:p w:rsidR="009533D1" w:rsidRDefault="009533D1" w:rsidP="009533D1">
            <w:pPr>
              <w:jc w:val="center"/>
            </w:pPr>
            <w:r w:rsidRPr="001C4AF1">
              <w:t>University of Wisconsin</w:t>
            </w:r>
          </w:p>
          <w:p w:rsidR="009533D1" w:rsidRDefault="001F623A" w:rsidP="009533D1">
            <w:pPr>
              <w:jc w:val="center"/>
            </w:pPr>
            <w:hyperlink r:id="rId8" w:history="1">
              <w:r w:rsidR="009533D1" w:rsidRPr="00442A92">
                <w:rPr>
                  <w:rStyle w:val="Hyperlink"/>
                </w:rPr>
                <w:t>amello@bus.wisc.edu</w:t>
              </w:r>
            </w:hyperlink>
          </w:p>
        </w:tc>
        <w:tc>
          <w:tcPr>
            <w:tcW w:w="3192" w:type="dxa"/>
          </w:tcPr>
          <w:p w:rsidR="009533D1" w:rsidRDefault="009533D1" w:rsidP="009533D1">
            <w:pPr>
              <w:jc w:val="center"/>
              <w:rPr>
                <w:lang w:val="pt-PT"/>
              </w:rPr>
            </w:pPr>
            <w:r w:rsidRPr="0076277D">
              <w:rPr>
                <w:lang w:val="pt-PT"/>
              </w:rPr>
              <w:t>Timothy Riddiough</w:t>
            </w:r>
          </w:p>
          <w:p w:rsidR="009533D1" w:rsidRDefault="009533D1" w:rsidP="009533D1">
            <w:pPr>
              <w:jc w:val="center"/>
            </w:pPr>
            <w:r w:rsidRPr="001C4AF1">
              <w:t>University of Wisconsin</w:t>
            </w:r>
          </w:p>
          <w:p w:rsidR="009533D1" w:rsidRDefault="001F623A" w:rsidP="009533D1">
            <w:pPr>
              <w:jc w:val="center"/>
            </w:pPr>
            <w:hyperlink r:id="rId9" w:history="1">
              <w:r w:rsidR="009533D1" w:rsidRPr="00442A92">
                <w:rPr>
                  <w:rStyle w:val="Hyperlink"/>
                </w:rPr>
                <w:t>triddiough@bus.wisc.edu</w:t>
              </w:r>
            </w:hyperlink>
          </w:p>
        </w:tc>
      </w:tr>
    </w:tbl>
    <w:p w:rsidR="00FF5A6E" w:rsidRDefault="00FF5A6E" w:rsidP="001C4AF1"/>
    <w:p w:rsidR="00FF5A6E" w:rsidRDefault="00FF5A6E" w:rsidP="001C4AF1"/>
    <w:p w:rsidR="00FF5A6E" w:rsidRDefault="00FF5A6E" w:rsidP="001C4AF1"/>
    <w:p w:rsidR="00FF5A6E" w:rsidRDefault="00FF5A6E" w:rsidP="001C4AF1"/>
    <w:p w:rsidR="00FF5A6E" w:rsidRDefault="00D1368B" w:rsidP="001C4AF1">
      <w:pPr>
        <w:jc w:val="center"/>
      </w:pPr>
      <w:r>
        <w:t>October</w:t>
      </w:r>
      <w:r w:rsidR="00FF5A6E">
        <w:t xml:space="preserve"> 2009</w:t>
      </w:r>
    </w:p>
    <w:p w:rsidR="00FF5A6E" w:rsidRDefault="00FF5A6E" w:rsidP="001C4AF1">
      <w:pPr>
        <w:jc w:val="center"/>
      </w:pPr>
    </w:p>
    <w:p w:rsidR="00FF5A6E" w:rsidRDefault="00FF5A6E" w:rsidP="001C4AF1">
      <w:pPr>
        <w:jc w:val="center"/>
      </w:pPr>
    </w:p>
    <w:p w:rsidR="00FF5A6E" w:rsidRDefault="00FF5A6E" w:rsidP="001C4AF1">
      <w:pPr>
        <w:jc w:val="center"/>
      </w:pPr>
    </w:p>
    <w:p w:rsidR="00FF5A6E" w:rsidRDefault="00FF5A6E" w:rsidP="001C4AF1">
      <w:pPr>
        <w:jc w:val="center"/>
      </w:pPr>
    </w:p>
    <w:p w:rsidR="00FF5A6E" w:rsidRDefault="00FF5A6E" w:rsidP="001C4AF1">
      <w:pPr>
        <w:jc w:val="center"/>
      </w:pPr>
      <w:r>
        <w:t>Abstract</w:t>
      </w:r>
    </w:p>
    <w:p w:rsidR="00FF5A6E" w:rsidRDefault="00FF5A6E" w:rsidP="001C4AF1">
      <w:pPr>
        <w:jc w:val="center"/>
      </w:pPr>
    </w:p>
    <w:p w:rsidR="00FF5A6E" w:rsidRPr="00D41CBC" w:rsidRDefault="00FF5A6E" w:rsidP="00D41CBC">
      <w:pPr>
        <w:ind w:left="720" w:right="720"/>
        <w:jc w:val="both"/>
        <w:rPr>
          <w:i/>
        </w:rPr>
      </w:pPr>
      <w:r>
        <w:rPr>
          <w:i/>
        </w:rPr>
        <w:t>This paper considers how collateral is used to finance a going concern. We focus on firms that offer collateral with significant debt capacity, and a setting where debt is unconditionally an optimal contract. A theory is developed in which firms with better quality collateral use that collateral to finance new investment opportunities with unsecured debt, while firms endowed with lower quality collateral use secured debt. Better quality firms must also issue equity to separate themselves from lesser quality firms, implying lower leverage and greater uncommitted cash flow from operations with which to meet debt service requirements. Empirical evidence from Real Estate Investment Trusts (REITs) support predictions of the theory, where we find that firms with less reliance on secured debt and lower total leverage invest more, are valued more highly and financially outperform firms with higher levels of secured debt and total leverage. Our findings provide an alternative perspective on risk-shifting and the value of free cash flow, and demonstrate limits to the benefits of leverage as it depends on debt capacity.</w:t>
      </w:r>
    </w:p>
    <w:p w:rsidR="00FF5A6E" w:rsidRDefault="00FF5A6E" w:rsidP="001C4AF1">
      <w:pPr>
        <w:jc w:val="center"/>
      </w:pPr>
      <w:r>
        <w:br w:type="page"/>
      </w:r>
      <w:r>
        <w:rPr>
          <w:b/>
          <w:sz w:val="28"/>
          <w:szCs w:val="28"/>
        </w:rPr>
        <w:lastRenderedPageBreak/>
        <w:t>Collateral and Debt Capacity in the Optimal Capital Structure</w:t>
      </w:r>
    </w:p>
    <w:p w:rsidR="00FF5A6E" w:rsidRDefault="00FF5A6E" w:rsidP="001C4AF1">
      <w:pPr>
        <w:jc w:val="center"/>
      </w:pPr>
    </w:p>
    <w:p w:rsidR="00FF5A6E" w:rsidRDefault="00FF5A6E" w:rsidP="001C4AF1">
      <w:pPr>
        <w:jc w:val="center"/>
      </w:pPr>
    </w:p>
    <w:p w:rsidR="00FF5A6E" w:rsidRDefault="00FF5A6E" w:rsidP="001C4AF1">
      <w:pPr>
        <w:jc w:val="center"/>
      </w:pPr>
    </w:p>
    <w:p w:rsidR="00FF5A6E" w:rsidRDefault="00FF5A6E" w:rsidP="001C4AF1">
      <w:pPr>
        <w:jc w:val="center"/>
      </w:pPr>
    </w:p>
    <w:p w:rsidR="00FF5A6E" w:rsidRDefault="00FF5A6E" w:rsidP="001C4AF1">
      <w:r>
        <w:rPr>
          <w:b/>
        </w:rPr>
        <w:t>I.  Introduction</w:t>
      </w:r>
    </w:p>
    <w:p w:rsidR="00FF5A6E" w:rsidRDefault="00FF5A6E" w:rsidP="001C4AF1"/>
    <w:p w:rsidR="00FF5A6E" w:rsidRDefault="00FF5A6E" w:rsidP="00D060DD">
      <w:pPr>
        <w:spacing w:line="480" w:lineRule="auto"/>
        <w:ind w:firstLine="720"/>
        <w:jc w:val="both"/>
      </w:pPr>
      <w:r>
        <w:t xml:space="preserve">The role of collateral in lending is important due to its effects on the real economy, as propagated through the credit channel. Bernanke and Gertler (1989) and Kiyotaki and Moore (1997) show that the value of collateralized assets impact firms’ debt capacity, in turn affecting investment and output. Because lenders have limited ability to enforce repayment, pledging collateral is indispensable to ameliorate credit frictions. The importance of collateral is documented in Berger and Udell (1990), and Harhoff and Korting (1998), who find that nearly 70% of commercial and industrial loans in the U.S., the U. K., and Germany are secured. Yet, for all of the attention paid to the topic there remain numerous unanswered questions about how collateral is used by firms to invest and issue </w:t>
      </w:r>
      <w:r w:rsidR="000237E4">
        <w:t xml:space="preserve">different types of </w:t>
      </w:r>
      <w:r>
        <w:t>claims to finance their investments, and more generally how collateral affects debt capacity, which in turn helps govern the optimal capital structure of firms as going concerns.</w:t>
      </w:r>
    </w:p>
    <w:p w:rsidR="00BE2871" w:rsidRDefault="00FF5A6E" w:rsidP="00D060DD">
      <w:pPr>
        <w:spacing w:line="480" w:lineRule="auto"/>
        <w:ind w:firstLine="720"/>
        <w:jc w:val="both"/>
      </w:pPr>
      <w:r>
        <w:t>Perhaps the most important form of collateral is real estate. A recent survey of the World Bank reports that in 58 emerging countries, real estate represents an average of 50% of firm’s collateral.</w:t>
      </w:r>
      <w:r>
        <w:rPr>
          <w:rStyle w:val="FootnoteReference"/>
        </w:rPr>
        <w:footnoteReference w:id="1"/>
      </w:r>
      <w:r>
        <w:t xml:space="preserve"> Similarly, Gan </w:t>
      </w:r>
      <w:r w:rsidR="00B11731">
        <w:t xml:space="preserve">(2007) </w:t>
      </w:r>
      <w:r>
        <w:t xml:space="preserve">finds that 70% of secured loans in Japan were backed by land. </w:t>
      </w:r>
      <w:r w:rsidR="00BE2871">
        <w:t>Using data from Japan before and after the collapse of the land market in 1990, Gan further finds that decreases in land prices cause</w:t>
      </w:r>
      <w:r w:rsidR="000237E4">
        <w:t>d</w:t>
      </w:r>
      <w:r w:rsidR="00BE2871">
        <w:t xml:space="preserve"> economically significant declines in investment. </w:t>
      </w:r>
    </w:p>
    <w:p w:rsidR="00FF5A6E" w:rsidRDefault="00FF5A6E" w:rsidP="00D060DD">
      <w:pPr>
        <w:spacing w:line="480" w:lineRule="auto"/>
        <w:ind w:firstLine="720"/>
        <w:jc w:val="both"/>
      </w:pPr>
      <w:r>
        <w:t>The role of real estate assets in collateralizing financial claims makes Real Estate Investment Trusts (REITs) an interesting and unique object of analysis. REITs are</w:t>
      </w:r>
      <w:r w:rsidRPr="007707B2">
        <w:t xml:space="preserve"> </w:t>
      </w:r>
      <w:r>
        <w:t xml:space="preserve">tax exempt publicly traded companies that typically hold ownership positions </w:t>
      </w:r>
      <w:r w:rsidRPr="007707B2">
        <w:t xml:space="preserve">in </w:t>
      </w:r>
      <w:r>
        <w:t xml:space="preserve">commercial </w:t>
      </w:r>
      <w:hyperlink r:id="rId10" w:tooltip="Real estate" w:history="1">
        <w:r w:rsidRPr="00507C10">
          <w:rPr>
            <w:rStyle w:val="Hyperlink"/>
            <w:color w:val="auto"/>
            <w:u w:val="none"/>
          </w:rPr>
          <w:t>real estate</w:t>
        </w:r>
      </w:hyperlink>
      <w:r>
        <w:t xml:space="preserve">. In </w:t>
      </w:r>
      <w:r>
        <w:lastRenderedPageBreak/>
        <w:t xml:space="preserve">return for tax-exemption, </w:t>
      </w:r>
      <w:r w:rsidRPr="007707B2">
        <w:t xml:space="preserve">REITs are required to distribute </w:t>
      </w:r>
      <w:r>
        <w:t xml:space="preserve">at least </w:t>
      </w:r>
      <w:r w:rsidRPr="007707B2">
        <w:t>90% of the</w:t>
      </w:r>
      <w:r>
        <w:t xml:space="preserve"> </w:t>
      </w:r>
      <w:hyperlink r:id="rId11" w:tooltip="Income" w:history="1">
        <w:r w:rsidRPr="00507C10">
          <w:rPr>
            <w:rStyle w:val="Hyperlink"/>
            <w:color w:val="auto"/>
            <w:u w:val="none"/>
          </w:rPr>
          <w:t>income</w:t>
        </w:r>
      </w:hyperlink>
      <w:r w:rsidRPr="00507C10">
        <w:t xml:space="preserve"> </w:t>
      </w:r>
      <w:r>
        <w:t>generated. For these firms, durability and redeployability of assets imply low marginal expected deadweight costs of financial distress as a function of leverage. Thus, even when a small wedge between the cost of issuing equity versus debt exists, firms will be tempted to exploit this wedge by utilizing significant amounts of debt (Almeida and Campello (2007)).</w:t>
      </w:r>
    </w:p>
    <w:p w:rsidR="00FF5A6E" w:rsidRDefault="00FF5A6E" w:rsidP="00D060DD">
      <w:pPr>
        <w:spacing w:line="480" w:lineRule="auto"/>
        <w:ind w:firstLine="720"/>
        <w:jc w:val="both"/>
      </w:pPr>
      <w:r>
        <w:t>But, at the same time, the provisions that REITs do not pay taxes at the firm level and are required to distribute a large percentage of operating cash flow as dividends remove two key incentives to employ debt relative to equity. Moreover, traditional pecking-order (Donaldson (1961) and Myers and Majluf (1984)), and principal-agent</w:t>
      </w:r>
      <w:r w:rsidR="00E45E3E">
        <w:t>/</w:t>
      </w:r>
      <w:r>
        <w:t xml:space="preserve">free cash flow (Easterbrook (1984) and Jensen (1986)) rationales for debt issuance are less compelling for these firms, as significant constraints on the retention of cash reduces managerial discretion to redeploy retained earnings and </w:t>
      </w:r>
      <w:r w:rsidR="00E45E3E">
        <w:t>free cash flow</w:t>
      </w:r>
      <w:r>
        <w:t xml:space="preserve">.   </w:t>
      </w:r>
    </w:p>
    <w:p w:rsidR="00FF5A6E" w:rsidRDefault="00FF5A6E" w:rsidP="00D060DD">
      <w:pPr>
        <w:spacing w:line="480" w:lineRule="auto"/>
        <w:ind w:firstLine="720"/>
        <w:jc w:val="both"/>
      </w:pPr>
      <w:r>
        <w:t>Table 1 documents leverage for a sample of REITs from 1991 to 2007 as they compare to non-financial C-Corporations (the “Compustat Sample”), where we also classify debt based on whether it is secured or unsecured. This table shows that REITs employ significant</w:t>
      </w:r>
      <w:r w:rsidR="000B4809">
        <w:t xml:space="preserve">ly greater leverage and finance </w:t>
      </w:r>
      <w:r>
        <w:t>themselves with significantly more secured debt than the comparison group, suggesting that debt capacity of real estate assets create powerful incentives for REITs to lever themselves up, and that they do so with a lot of secured debt.</w:t>
      </w:r>
    </w:p>
    <w:p w:rsidR="00FF5A6E" w:rsidRPr="007D3E45" w:rsidRDefault="00FF5A6E" w:rsidP="00D060DD">
      <w:pPr>
        <w:spacing w:line="480" w:lineRule="auto"/>
        <w:jc w:val="center"/>
        <w:rPr>
          <w:b/>
        </w:rPr>
      </w:pPr>
      <w:r>
        <w:rPr>
          <w:b/>
        </w:rPr>
        <w:t>Table 1 Here</w:t>
      </w:r>
    </w:p>
    <w:p w:rsidR="00FF5A6E" w:rsidRDefault="00FF5A6E" w:rsidP="00D060DD">
      <w:pPr>
        <w:spacing w:line="480" w:lineRule="auto"/>
        <w:jc w:val="both"/>
      </w:pPr>
      <w:r>
        <w:tab/>
        <w:t xml:space="preserve">While REITs </w:t>
      </w:r>
      <w:r w:rsidR="00E45E3E">
        <w:t>are liberal in their use</w:t>
      </w:r>
      <w:r>
        <w:t xml:space="preserve"> of leverage, the existence of debt capacity does not necessarily imply that a capital structure with a l</w:t>
      </w:r>
      <w:r w:rsidR="00E45E3E">
        <w:t xml:space="preserve">arge proportion </w:t>
      </w:r>
      <w:r>
        <w:t xml:space="preserve">of debt, particularly secured debt, is an optimal capital structure given the noted offsetting effects of no-taxes and an inability to retain cash flow. To begin to get at this issue, in Table 2 we calculate average </w:t>
      </w:r>
      <w:r>
        <w:rPr>
          <w:i/>
        </w:rPr>
        <w:t xml:space="preserve">q </w:t>
      </w:r>
      <w:r>
        <w:t xml:space="preserve">values of </w:t>
      </w:r>
      <w:r>
        <w:lastRenderedPageBreak/>
        <w:t>REITs. Firms are classified as being above or below the sample median in three different ways: 1) by the ratio of secured debt to total debt; 2) by the ratio of total debt to total assets; and 3) by the cross term of the two previous measures, the ratio of secured debt to total assets. Note that total assets used to calculate total leverage and secured leverage are reported on a market value as well as a book value basis.</w:t>
      </w:r>
    </w:p>
    <w:p w:rsidR="00FF5A6E" w:rsidRPr="00DC7623" w:rsidRDefault="00FF5A6E" w:rsidP="00D060DD">
      <w:pPr>
        <w:spacing w:line="480" w:lineRule="auto"/>
        <w:jc w:val="center"/>
        <w:rPr>
          <w:b/>
        </w:rPr>
      </w:pPr>
      <w:r>
        <w:rPr>
          <w:b/>
        </w:rPr>
        <w:t>Table 2 Here</w:t>
      </w:r>
    </w:p>
    <w:p w:rsidR="00FF5A6E" w:rsidRDefault="00FF5A6E" w:rsidP="00D060DD">
      <w:pPr>
        <w:spacing w:line="480" w:lineRule="auto"/>
        <w:jc w:val="both"/>
      </w:pPr>
      <w:r>
        <w:tab/>
        <w:t xml:space="preserve">Results show that firms that employ greater leverage and use a greater proportion of secured debt in their capital structure have lower </w:t>
      </w:r>
      <w:r w:rsidR="00E811CC">
        <w:rPr>
          <w:i/>
        </w:rPr>
        <w:t>q</w:t>
      </w:r>
      <w:r>
        <w:rPr>
          <w:i/>
        </w:rPr>
        <w:t xml:space="preserve"> </w:t>
      </w:r>
      <w:r>
        <w:t>values. This simple relation suggest</w:t>
      </w:r>
      <w:r w:rsidR="00E45E3E">
        <w:t>s</w:t>
      </w:r>
      <w:r>
        <w:t xml:space="preserve"> that, at a minimum, there are limits </w:t>
      </w:r>
      <w:r w:rsidR="00E45E3E">
        <w:t xml:space="preserve">to collateral as a means to ameliorate market frictions. This seems particularly true </w:t>
      </w:r>
      <w:r>
        <w:t xml:space="preserve">with secured debt. But what are the factors that would lead to an outcome where, say 40 percent total leverage with limited secured debt is an optimal capital structure for firms whose assets provide terrific collateral value and received wisdom which suggests that debt, and often secured debt, is an optimal contract? The verdict is still unclear. For example, Boot, Thakor and Udell (1991) indicate that firms with good </w:t>
      </w:r>
      <w:r w:rsidR="00E811CC">
        <w:t xml:space="preserve">fundamentals </w:t>
      </w:r>
      <w:r>
        <w:t xml:space="preserve">borrow more and use more collateral to signal their quality. On the other hand, Rajan and Winton (1995) show that banks lend less and require more collateral from low quality firms.       </w:t>
      </w:r>
    </w:p>
    <w:p w:rsidR="00FF5A6E" w:rsidRDefault="00FF5A6E" w:rsidP="00D060DD">
      <w:pPr>
        <w:spacing w:line="480" w:lineRule="auto"/>
        <w:jc w:val="both"/>
      </w:pPr>
      <w:r>
        <w:tab/>
        <w:t xml:space="preserve">While real estate makes for excellent collateral in general, there can be significant differences in the productivity of the collateral in terms of its intrinsic qualities and how it is managed. To appreciate the robustness of the results noted in Table 2, in Table 3 we report financial performance results of REITs during the 1991-2006 time period—a period in which real estate asset prices generally increased—and the 2007-08 time period—which is the time frame covering the beginning and end of the most intensive period of the financial market crisis. The table shows that firms classified as being below the median in terms of the ratio of secured </w:t>
      </w:r>
      <w:r>
        <w:lastRenderedPageBreak/>
        <w:t xml:space="preserve">debt to total </w:t>
      </w:r>
      <w:r w:rsidR="00E811CC">
        <w:t>assets</w:t>
      </w:r>
      <w:r>
        <w:t xml:space="preserve"> generated higher total returns for their shareholders than above-median firms </w:t>
      </w:r>
      <w:r w:rsidRPr="003D7425">
        <w:rPr>
          <w:i/>
        </w:rPr>
        <w:t>in both time</w:t>
      </w:r>
      <w:r>
        <w:rPr>
          <w:i/>
        </w:rPr>
        <w:t xml:space="preserve"> periods</w:t>
      </w:r>
      <w:r>
        <w:t xml:space="preserve">; i.e., firms that utilized less secured debt and total leverage generated higher returns for their shareholders in good times as well as bad. </w:t>
      </w:r>
    </w:p>
    <w:p w:rsidR="00FF5A6E" w:rsidRPr="00401231" w:rsidRDefault="00FF5A6E" w:rsidP="00D060DD">
      <w:pPr>
        <w:spacing w:line="480" w:lineRule="auto"/>
        <w:jc w:val="center"/>
        <w:rPr>
          <w:b/>
        </w:rPr>
      </w:pPr>
      <w:r>
        <w:rPr>
          <w:b/>
        </w:rPr>
        <w:t>Table 3 Here</w:t>
      </w:r>
    </w:p>
    <w:p w:rsidR="00FF5A6E" w:rsidRDefault="00052531" w:rsidP="00D060DD">
      <w:pPr>
        <w:tabs>
          <w:tab w:val="left" w:pos="1320"/>
        </w:tabs>
        <w:spacing w:line="480" w:lineRule="auto"/>
        <w:ind w:firstLine="720"/>
        <w:jc w:val="both"/>
      </w:pPr>
      <w:r>
        <w:t>Table 3</w:t>
      </w:r>
      <w:r w:rsidR="00FF5A6E">
        <w:t xml:space="preserve"> also shows that firms that had below-median amounts of secured debt to total </w:t>
      </w:r>
      <w:r>
        <w:t>assets</w:t>
      </w:r>
      <w:r w:rsidR="00FF5A6E">
        <w:t xml:space="preserve"> in their capital structures incurred total lower interest expenses as a percentage of total debt outstanding, implying that secured debt is more expensive than unsecured debt. With this collection of stylized empirical facts in mind—REITs employ significantly more leverage and secured debt relative to industrial firms, but also that REITs which generate higher </w:t>
      </w:r>
      <w:r w:rsidR="00FF5A6E">
        <w:rPr>
          <w:i/>
        </w:rPr>
        <w:t xml:space="preserve">q </w:t>
      </w:r>
      <w:r w:rsidR="00FF5A6E">
        <w:t>values have better stock market performance, lower debt financing costs, and employ relatively less leverage as well as have lower levels of secured debt—we consider theory and evidence on the optimal capital structure of going concerns that own collateralizable assets with significant debt capacity.</w:t>
      </w:r>
    </w:p>
    <w:p w:rsidR="00FF5A6E" w:rsidRDefault="00FF5A6E" w:rsidP="00D060DD">
      <w:pPr>
        <w:spacing w:line="480" w:lineRule="auto"/>
        <w:ind w:firstLine="720"/>
        <w:jc w:val="both"/>
      </w:pPr>
      <w:r>
        <w:t>We develop a theoretical model that is in the spirit of Bester (1985), and that also borrows from the seminal work of Stulz and Johnson (1985) and Myers and Rajan (1998). In our model, firms are characterized as going concerns with collateralizable assets in place. The assets in place have productive qualities that vary across firms and that are unobservable to outsiders. Debt has been used to finance ownership of the assets in place. Moreover, debt is unconditionally an optimal contract because there are fixed costs associated with issuing equity.</w:t>
      </w:r>
    </w:p>
    <w:p w:rsidR="00FF5A6E" w:rsidRDefault="00FF5A6E" w:rsidP="00D060DD">
      <w:pPr>
        <w:spacing w:line="480" w:lineRule="auto"/>
        <w:ind w:firstLine="720"/>
        <w:jc w:val="both"/>
      </w:pPr>
      <w:r>
        <w:t xml:space="preserve">A new constant-quality positive NPV project is available for investment, and firms are interested in financing the investment. The firm is unable to credibly commit any of its existing liquid resources to finance the new project, but its real assets in place are available as additional </w:t>
      </w:r>
      <w:r>
        <w:lastRenderedPageBreak/>
        <w:t>collateral.</w:t>
      </w:r>
      <w:r>
        <w:rPr>
          <w:rStyle w:val="FootnoteReference"/>
        </w:rPr>
        <w:footnoteReference w:id="2"/>
      </w:r>
      <w:r>
        <w:t xml:space="preserve"> If real assets in place are offered as collateral to finance the new project, we say the new financing is </w:t>
      </w:r>
      <w:r w:rsidRPr="006F54AF">
        <w:rPr>
          <w:i/>
        </w:rPr>
        <w:t>unsecured</w:t>
      </w:r>
      <w:r>
        <w:t xml:space="preserve"> (that is, all of the available assets of the firm collateralize all of the debt of the firm, old as well as new). Otherwise, if only the new investment is available to collateralize the new debt, we say that the debt is </w:t>
      </w:r>
      <w:r w:rsidRPr="006F54AF">
        <w:rPr>
          <w:i/>
        </w:rPr>
        <w:t>secured</w:t>
      </w:r>
      <w:r>
        <w:t>.</w:t>
      </w:r>
      <w:r>
        <w:rPr>
          <w:rStyle w:val="FootnoteReference"/>
        </w:rPr>
        <w:footnoteReference w:id="3"/>
      </w:r>
    </w:p>
    <w:p w:rsidR="00FF5A6E" w:rsidRDefault="00FF5A6E" w:rsidP="00D060DD">
      <w:pPr>
        <w:spacing w:line="480" w:lineRule="auto"/>
        <w:ind w:firstLine="720"/>
        <w:jc w:val="both"/>
      </w:pPr>
      <w:r>
        <w:t xml:space="preserve">The critical question we consider is how firms, which are endowed with assets in place that have an unobservable component that varies in quality, should optimally finance their investment and how creditors should optimally screen firms in order to ascertain their true type. We show that, conditional on their identity being known to outside financiers, higher quality firms </w:t>
      </w:r>
      <w:r w:rsidR="00657ED3">
        <w:t xml:space="preserve">will </w:t>
      </w:r>
      <w:r>
        <w:t xml:space="preserve">prefer to finance themselves with unsecured debt, and lower quality firms </w:t>
      </w:r>
      <w:r w:rsidR="00657ED3">
        <w:t xml:space="preserve">will </w:t>
      </w:r>
      <w:r>
        <w:t>prefer to finance themselves with secured debt. The basic intuition is that of Bester (1985), with an important twist: better quality firms, which possess more valuable assets in place, can improve issuance proceeds by pledging those assets as collateral to finance the new investment. The opposite effect occurs with lower quality firms, so they finance investment with secured debt. These relations are robust to any participation constraints that might be imposed by existing debt holders to limit wealth transfers associated with financing new investment.</w:t>
      </w:r>
    </w:p>
    <w:p w:rsidR="00FF5A6E" w:rsidRDefault="00FF5A6E" w:rsidP="00D060DD">
      <w:pPr>
        <w:spacing w:line="480" w:lineRule="auto"/>
        <w:ind w:firstLine="360"/>
        <w:jc w:val="both"/>
      </w:pPr>
      <w:r>
        <w:t xml:space="preserve">The problem of course is that lower quality firms would like to represent to outsiders that they are higher quality firms, </w:t>
      </w:r>
      <w:r w:rsidR="00657ED3">
        <w:t>as this would allow them</w:t>
      </w:r>
      <w:r>
        <w:t xml:space="preserve"> to issue unsecured debt and thus increase issuance proceeds. Without some method to differentiate </w:t>
      </w:r>
      <w:r w:rsidR="00B576E3">
        <w:t>firms,</w:t>
      </w:r>
      <w:r>
        <w:t xml:space="preserve"> lenders will otherwise decide to pool all borrowers. Competition between lenders will result in screening, which is done by requiring firms that wish to finance themselves with unsecured debt to also issue equity. This </w:t>
      </w:r>
      <w:r>
        <w:lastRenderedPageBreak/>
        <w:t>leverage decreasing action, while costly to higher quality firms, is more costly for lower quality firms tha</w:t>
      </w:r>
      <w:r w:rsidR="00B576E3">
        <w:t>n</w:t>
      </w:r>
      <w:r>
        <w:t xml:space="preserve"> it is for higher quality firms. As a result, screening is such that higher quality firms issue equity in sufficient quantity to make it too expensive for lower quality firms to mimic them, and a separating equilibrium results.</w:t>
      </w:r>
    </w:p>
    <w:p w:rsidR="00FF5A6E" w:rsidRDefault="00FF5A6E" w:rsidP="00D060DD">
      <w:pPr>
        <w:spacing w:line="480" w:lineRule="auto"/>
        <w:ind w:firstLine="360"/>
        <w:jc w:val="both"/>
      </w:pPr>
      <w:r>
        <w:tab/>
        <w:t xml:space="preserve">Equilibrium implies that, consistent with the stylized empirical facts outlined earlier, higher quality firms will, through their financing decisions, reveal themselves with higher </w:t>
      </w:r>
      <w:r>
        <w:rPr>
          <w:i/>
        </w:rPr>
        <w:t xml:space="preserve">q </w:t>
      </w:r>
      <w:r>
        <w:t xml:space="preserve">values, thus generating greater returns to shareholders over time. They will also have lower incremental costs of debt finance, and will use less leverage with a greater proportion of unsecured debt to finance new investment opportunities. We expect these effects to be persistent and self-reinforcing. Less leverage by higher quality firms is a credible commitment to insuring creditors against the risk of loan default. To the extent that </w:t>
      </w:r>
      <w:r w:rsidR="00B01B7F">
        <w:t>these actions</w:t>
      </w:r>
      <w:r>
        <w:t xml:space="preserve"> can relax financial constraints, higher quality firms will also invest more.</w:t>
      </w:r>
    </w:p>
    <w:p w:rsidR="00FF5A6E" w:rsidRDefault="00FF5A6E" w:rsidP="00D060DD">
      <w:pPr>
        <w:spacing w:line="480" w:lineRule="auto"/>
        <w:ind w:firstLine="720"/>
        <w:jc w:val="both"/>
      </w:pPr>
      <w:r>
        <w:t xml:space="preserve">Formal tests of model implications are undertaken using an unbalanced panel of annual equity REIT data over the years 1991 to 2007. In the first of two basic empirical specifications, we match firms based on growth opportunities, size, profitability, earnings volatility and age, and assess the effects of financing decisions on firm performance. Based on our summary measure of the joint financing type-leverage decision—the ratio of secured debt to total assets—we categorize firms as being above and below the median value in the sample. Performance measures are calculated at 12, 24 and 36 months into the future after the match date. For each and every performance measure considered—which includes investment, return on assets, and value multiple—we find that below-median firms outperform above-median firms. We also document that below-median firms issue greater amounts of equity in the future as a percentage </w:t>
      </w:r>
      <w:r>
        <w:lastRenderedPageBreak/>
        <w:t xml:space="preserve">of investment, indicating that financing differences that distinguish firms persist into the future and therefore are self-reinforcing. </w:t>
      </w:r>
    </w:p>
    <w:p w:rsidR="00FF5A6E" w:rsidRPr="00791184" w:rsidRDefault="00FF5A6E" w:rsidP="00D060DD">
      <w:pPr>
        <w:spacing w:line="480" w:lineRule="auto"/>
        <w:ind w:firstLine="720"/>
        <w:jc w:val="both"/>
      </w:pPr>
      <w:r>
        <w:t xml:space="preserve">Our second approach is to estimate the relation between </w:t>
      </w:r>
      <w:r>
        <w:rPr>
          <w:i/>
        </w:rPr>
        <w:t>q</w:t>
      </w:r>
      <w:r>
        <w:t xml:space="preserve"> and financing decisions using a GMM estimation methodology. Consistent with predictions of the theory, we find a robust causal relation going from the joint financing choice-leverage decision to changes in </w:t>
      </w:r>
      <w:r>
        <w:rPr>
          <w:i/>
        </w:rPr>
        <w:t>q</w:t>
      </w:r>
      <w:r>
        <w:t xml:space="preserve">, where an increase in the secured debt-to-total asset ratio is negatively related to the change in </w:t>
      </w:r>
      <w:r>
        <w:rPr>
          <w:i/>
        </w:rPr>
        <w:t xml:space="preserve">q. </w:t>
      </w:r>
      <w:r>
        <w:t xml:space="preserve">At the same time, </w:t>
      </w:r>
      <w:r>
        <w:rPr>
          <w:i/>
        </w:rPr>
        <w:t xml:space="preserve">q </w:t>
      </w:r>
      <w:r>
        <w:t xml:space="preserve">is found to cause and have a negative effect on the secured debt-to-total asset ratio, suggesting feed-back and thus persistence in the categorization of firms as higher and lower quality. Results based on the summary financial measure are robust in the sense that </w:t>
      </w:r>
      <w:r>
        <w:rPr>
          <w:i/>
        </w:rPr>
        <w:t>q</w:t>
      </w:r>
      <w:r>
        <w:t xml:space="preserve"> is negatively related to the component parts of the joint financing decision, those being secured debt-to-total debt and total debt-to-total assets.</w:t>
      </w:r>
    </w:p>
    <w:p w:rsidR="00FF5A6E" w:rsidRDefault="00FF5A6E" w:rsidP="00D060DD">
      <w:pPr>
        <w:spacing w:line="480" w:lineRule="auto"/>
        <w:ind w:firstLine="720"/>
        <w:jc w:val="both"/>
      </w:pPr>
      <w:r>
        <w:t>We believe that studying REITs, which are going concerns that possess collateralizable assets with high debt capacity, is useful for studying broader issues in corporate finance and macroeconomics. These firms do not pay taxes and are exogenously cash flow constrained, which provides a controlled environment for isolating effects associated with collateral, information and agency as they relate to issues of optimal capital structure and the role of collateral in the economy.</w:t>
      </w:r>
    </w:p>
    <w:p w:rsidR="00AB5CFF" w:rsidRDefault="00BE2871" w:rsidP="00D060DD">
      <w:pPr>
        <w:spacing w:line="480" w:lineRule="auto"/>
        <w:ind w:firstLine="720"/>
        <w:jc w:val="both"/>
      </w:pPr>
      <w:r>
        <w:t xml:space="preserve">A primary contribution of this paper is to articulate a </w:t>
      </w:r>
      <w:r w:rsidR="000237E4">
        <w:t xml:space="preserve">causal </w:t>
      </w:r>
      <w:r>
        <w:t xml:space="preserve">relation between collateral quality and the </w:t>
      </w:r>
      <w:r>
        <w:rPr>
          <w:i/>
        </w:rPr>
        <w:t xml:space="preserve">type </w:t>
      </w:r>
      <w:r w:rsidR="000A7EB0">
        <w:t>(as well as quantity) o</w:t>
      </w:r>
      <w:r>
        <w:t xml:space="preserve">f </w:t>
      </w:r>
      <w:r w:rsidR="000A7EB0">
        <w:t xml:space="preserve">financial </w:t>
      </w:r>
      <w:r>
        <w:t>claims optimally issued by a firm</w:t>
      </w:r>
      <w:r w:rsidR="00E13C8D">
        <w:t>, and then test that relation empirically</w:t>
      </w:r>
      <w:r>
        <w:t xml:space="preserve">. Other </w:t>
      </w:r>
      <w:r w:rsidR="00885354">
        <w:t xml:space="preserve">recent </w:t>
      </w:r>
      <w:r>
        <w:t xml:space="preserve">work, such </w:t>
      </w:r>
      <w:r w:rsidR="000237E4">
        <w:t xml:space="preserve">as </w:t>
      </w:r>
      <w:r w:rsidR="00885354">
        <w:t>Hennessy, Levy and Whited (200</w:t>
      </w:r>
      <w:r w:rsidR="000237E4">
        <w:t>7</w:t>
      </w:r>
      <w:r w:rsidR="00885354">
        <w:t>) and Almeida and Campbella (200</w:t>
      </w:r>
      <w:r w:rsidR="000237E4">
        <w:t>7</w:t>
      </w:r>
      <w:r w:rsidR="00885354">
        <w:t>)</w:t>
      </w:r>
      <w:r w:rsidR="000237E4">
        <w:t>,</w:t>
      </w:r>
      <w:r w:rsidR="00885354">
        <w:t xml:space="preserve"> study the </w:t>
      </w:r>
      <w:r w:rsidR="000A7EB0">
        <w:t xml:space="preserve">relation </w:t>
      </w:r>
      <w:r w:rsidR="00885354">
        <w:t xml:space="preserve">between collateral quality and </w:t>
      </w:r>
      <w:r w:rsidR="000237E4">
        <w:t xml:space="preserve">the </w:t>
      </w:r>
      <w:r w:rsidR="000A7EB0">
        <w:t xml:space="preserve">optimal </w:t>
      </w:r>
      <w:r w:rsidR="00885354">
        <w:t>quantity of debt</w:t>
      </w:r>
      <w:r w:rsidR="000A7EB0">
        <w:t xml:space="preserve"> in the capital structure</w:t>
      </w:r>
      <w:r w:rsidR="00885354">
        <w:t xml:space="preserve">, but they do not analyze type of debt. </w:t>
      </w:r>
      <w:r w:rsidR="000A7EB0">
        <w:t>An older literature does consider debt type</w:t>
      </w:r>
      <w:r w:rsidR="00AB5CFF">
        <w:t>;</w:t>
      </w:r>
      <w:r w:rsidR="000A7EB0">
        <w:t xml:space="preserve"> for example, Johnson and Stulz (1985) and Boot, Thakor and Udell </w:t>
      </w:r>
      <w:r w:rsidR="000A7EB0">
        <w:lastRenderedPageBreak/>
        <w:t xml:space="preserve">(1991), but </w:t>
      </w:r>
      <w:r w:rsidR="00AB5CFF">
        <w:t>this literature</w:t>
      </w:r>
      <w:r w:rsidR="000A7EB0">
        <w:t xml:space="preserve"> focuses less </w:t>
      </w:r>
      <w:r w:rsidR="00AB5CFF">
        <w:t>comprehensively on capital structure issues as related to</w:t>
      </w:r>
      <w:r w:rsidR="000A7EB0">
        <w:t xml:space="preserve"> the role of equity in</w:t>
      </w:r>
      <w:r w:rsidR="00AB5CFF">
        <w:t xml:space="preserve"> providing incentives for investment and value creation. </w:t>
      </w:r>
    </w:p>
    <w:p w:rsidR="00FF5A6E" w:rsidRPr="00DC7623" w:rsidRDefault="00FF5A6E" w:rsidP="00D060DD">
      <w:pPr>
        <w:spacing w:line="480" w:lineRule="auto"/>
        <w:ind w:firstLine="720"/>
        <w:jc w:val="both"/>
      </w:pPr>
      <w:r>
        <w:t>Our results suggest that a number of the firms we analyze were over-levered and used secured debt in excess, and that they did so out of weakness. We conclude that, just because assets are collateralizable with significant debt capacity, fully exploiting that debt capacity is usually not an optimal strategy. Rather, like everything else in the world, delicate and oftentimes subtle tradeoffs need to be considered.</w:t>
      </w:r>
    </w:p>
    <w:p w:rsidR="00FF5A6E" w:rsidRDefault="00FF5A6E" w:rsidP="001C4AF1"/>
    <w:p w:rsidR="00FF5A6E" w:rsidRDefault="00FF5A6E" w:rsidP="008F37CF">
      <w:pPr>
        <w:numPr>
          <w:ilvl w:val="0"/>
          <w:numId w:val="7"/>
        </w:numPr>
        <w:tabs>
          <w:tab w:val="clear" w:pos="1080"/>
        </w:tabs>
        <w:ind w:left="360" w:hanging="360"/>
        <w:rPr>
          <w:b/>
        </w:rPr>
      </w:pPr>
      <w:r>
        <w:rPr>
          <w:b/>
        </w:rPr>
        <w:t>Theory and Empirical Implications</w:t>
      </w:r>
    </w:p>
    <w:p w:rsidR="00FF5A6E" w:rsidRDefault="00FF5A6E" w:rsidP="00A0217B">
      <w:pPr>
        <w:rPr>
          <w:b/>
        </w:rPr>
      </w:pPr>
    </w:p>
    <w:p w:rsidR="00FF5A6E" w:rsidRDefault="00D060DD" w:rsidP="00A0217B">
      <w:pPr>
        <w:rPr>
          <w:b/>
        </w:rPr>
      </w:pPr>
      <w:r>
        <w:rPr>
          <w:b/>
        </w:rPr>
        <w:t>II.A.</w:t>
      </w:r>
      <w:r w:rsidR="00FF5A6E">
        <w:rPr>
          <w:b/>
        </w:rPr>
        <w:t xml:space="preserve"> Model</w:t>
      </w:r>
    </w:p>
    <w:p w:rsidR="00FF5A6E" w:rsidRDefault="00FF5A6E" w:rsidP="001C4AF1"/>
    <w:p w:rsidR="00FF5A6E" w:rsidRDefault="00FF5A6E" w:rsidP="00D060DD">
      <w:pPr>
        <w:spacing w:line="480" w:lineRule="auto"/>
        <w:ind w:firstLine="720"/>
        <w:jc w:val="both"/>
      </w:pPr>
      <w:r>
        <w:t xml:space="preserve">Our model contains elements of three seminal papers that consider collateral and debt financing: Bester (1985), Stulz and Johnson (1985) and Myers and Rajan (1998). The basic model structure and much of the economic intuition follows from Bester (1985), which is a screening-signaling model in which collateral is used to induce separation between projects of varying quality. There are, however, some important modifications to the Bester model to properly characterize financing decisions associated with a going concern as opposed one-off project financing. </w:t>
      </w:r>
    </w:p>
    <w:p w:rsidR="00FF5A6E" w:rsidRDefault="00FF5A6E" w:rsidP="00D060DD">
      <w:pPr>
        <w:spacing w:line="480" w:lineRule="auto"/>
        <w:ind w:firstLine="720"/>
        <w:jc w:val="both"/>
      </w:pPr>
      <w:r>
        <w:t xml:space="preserve">As in Stulz and Johnson (1985), we distinguish between secured and unsecured debt, and consider incremental financing decisions when a firm is presented with a new investment opportunity. Major differences between their paper and our approach are: i) distinguishing between the collateralizability of existing assets as they relate to secured versus unsecured claims; ii) the consideration of equity issuance in addition to the possibility of debt issuance; and iii) our focus on asymmetric information as being instrumental in motivating financial decision making. </w:t>
      </w:r>
    </w:p>
    <w:p w:rsidR="00FF5A6E" w:rsidRDefault="00FF5A6E" w:rsidP="00D060DD">
      <w:pPr>
        <w:spacing w:line="480" w:lineRule="auto"/>
        <w:ind w:firstLine="720"/>
        <w:jc w:val="both"/>
      </w:pPr>
      <w:r>
        <w:lastRenderedPageBreak/>
        <w:t xml:space="preserve">Like in Myers and Rajan (1998) we consider the commitment value of liquid versus illiquid assets, positing that cash on the balance sheet has no commitment value. Given that REITs are required to pay a large percentage of their operating income as dividends, liquid assets represent a small fraction of REITs’ balance sheets. However, we consider the issue of commitment as it occurs vis-à-vis equity issuance, by arguing that firms can affect commitment value of operating cash flow by </w:t>
      </w:r>
      <w:r>
        <w:rPr>
          <w:i/>
        </w:rPr>
        <w:t>reducing</w:t>
      </w:r>
      <w:r>
        <w:t xml:space="preserve"> debt service requirements. Thus, cash from an equity issuance, in effect, substitutes for debt that would otherwise increase debt service requirements and hence the credit risk of the firm. The commitment to issue equity is a separating and incentive compatible screening devise that is required by lenders, in that only higher quality firms will optimally choose to issue equity.   </w:t>
      </w:r>
    </w:p>
    <w:p w:rsidR="00FF5A6E" w:rsidRDefault="00FF5A6E" w:rsidP="00D060DD">
      <w:pPr>
        <w:spacing w:line="480" w:lineRule="auto"/>
        <w:ind w:firstLine="720"/>
        <w:jc w:val="both"/>
      </w:pPr>
      <w:r>
        <w:t>The formal model is as follows. C</w:t>
      </w:r>
      <w:r w:rsidRPr="004B114C">
        <w:t>onsider two types of firms (real estate firms)</w:t>
      </w:r>
      <w:r>
        <w:t xml:space="preserve"> that </w:t>
      </w:r>
      <w:r w:rsidRPr="004B114C">
        <w:t>are characterized by their assets in place</w:t>
      </w:r>
      <w:r>
        <w:t xml:space="preserve">. These assets </w:t>
      </w:r>
      <w:r w:rsidRPr="004B114C">
        <w:t>are</w:t>
      </w:r>
      <w:r>
        <w:t xml:space="preserve"> a</w:t>
      </w:r>
      <w:r w:rsidRPr="004B114C">
        <w:t xml:space="preserve"> project</w:t>
      </w:r>
      <w:r>
        <w:t xml:space="preserve"> </w:t>
      </w:r>
      <w:r w:rsidRPr="004B114C">
        <w:t xml:space="preserve">or a collection of projects of different </w:t>
      </w:r>
      <w:r>
        <w:t xml:space="preserve">measurable </w:t>
      </w:r>
      <w:r w:rsidRPr="004B114C">
        <w:t xml:space="preserve">quality, </w:t>
      </w:r>
      <w:r>
        <w:rPr>
          <w:i/>
        </w:rPr>
        <w:t>w</w:t>
      </w:r>
      <w:r>
        <w:rPr>
          <w:i/>
          <w:vertAlign w:val="subscript"/>
        </w:rPr>
        <w:t>j</w:t>
      </w:r>
      <w:r w:rsidRPr="004B114C">
        <w:t xml:space="preserve">, where </w:t>
      </w:r>
      <w:r w:rsidRPr="00896569">
        <w:rPr>
          <w:i/>
        </w:rPr>
        <w:t>j</w:t>
      </w:r>
      <w:r w:rsidRPr="004B114C">
        <w:t>=</w:t>
      </w:r>
      <w:r w:rsidRPr="00896569">
        <w:rPr>
          <w:i/>
        </w:rPr>
        <w:t>G,B</w:t>
      </w:r>
      <w:r w:rsidRPr="004B114C">
        <w:t xml:space="preserve"> </w:t>
      </w:r>
      <w:r>
        <w:t>indicates</w:t>
      </w:r>
      <w:r w:rsidRPr="004B114C">
        <w:t xml:space="preserve"> good or bad. </w:t>
      </w:r>
    </w:p>
    <w:p w:rsidR="00FF5A6E" w:rsidRDefault="00FF5A6E" w:rsidP="00D060DD">
      <w:pPr>
        <w:spacing w:line="480" w:lineRule="auto"/>
        <w:ind w:firstLine="720"/>
        <w:jc w:val="both"/>
      </w:pPr>
      <w:r w:rsidRPr="004B114C">
        <w:t xml:space="preserve">The </w:t>
      </w:r>
      <w:r>
        <w:t>assets in place</w:t>
      </w:r>
      <w:r w:rsidRPr="004B114C">
        <w:t xml:space="preserve"> </w:t>
      </w:r>
      <w:r>
        <w:t xml:space="preserve">collectively generate a binary payoff in one period, where the </w:t>
      </w:r>
      <w:r w:rsidRPr="004B114C">
        <w:t>outcome</w:t>
      </w:r>
      <w:r>
        <w:t xml:space="preserve"> is </w:t>
      </w:r>
      <w:r w:rsidRPr="004B114C">
        <w:t xml:space="preserve">either high, </w:t>
      </w:r>
      <w:r w:rsidRPr="00896569">
        <w:rPr>
          <w:i/>
        </w:rPr>
        <w:t>H</w:t>
      </w:r>
      <w:r w:rsidRPr="004B114C">
        <w:t xml:space="preserve">, or low, </w:t>
      </w:r>
      <w:r w:rsidRPr="00896569">
        <w:rPr>
          <w:i/>
        </w:rPr>
        <w:t>L</w:t>
      </w:r>
      <w:r w:rsidRPr="004B114C">
        <w:t xml:space="preserve">. For simplicity, consider the outcomes </w:t>
      </w:r>
      <w:r>
        <w:t>to be</w:t>
      </w:r>
      <w:r w:rsidRPr="004B114C">
        <w:t xml:space="preserve"> equally likely. This assumption does not affect the results in any way, and makes the analysis cleaner and easier to follow. The expected payoff of the good project is higher than the exp</w:t>
      </w:r>
      <w:r>
        <w:t>ected payoff of the bad project; i.e., E[</w:t>
      </w:r>
      <w:r>
        <w:rPr>
          <w:i/>
        </w:rPr>
        <w:t>w</w:t>
      </w:r>
      <w:r>
        <w:rPr>
          <w:i/>
          <w:vertAlign w:val="subscript"/>
        </w:rPr>
        <w:t>G</w:t>
      </w:r>
      <w:r>
        <w:t>]&gt;E[</w:t>
      </w:r>
      <w:r>
        <w:rPr>
          <w:i/>
        </w:rPr>
        <w:t>w</w:t>
      </w:r>
      <w:r>
        <w:rPr>
          <w:i/>
          <w:vertAlign w:val="subscript"/>
        </w:rPr>
        <w:t>B</w:t>
      </w:r>
      <w:r>
        <w:t>]. H</w:t>
      </w:r>
      <w:r w:rsidRPr="004B114C">
        <w:t>owever</w:t>
      </w:r>
      <w:r>
        <w:t>,</w:t>
      </w:r>
      <w:r w:rsidRPr="004B114C">
        <w:t xml:space="preserve"> a low outcome of a good project pays off less than </w:t>
      </w:r>
      <w:r>
        <w:t>a good outcome of a bad project: i.e.</w:t>
      </w:r>
      <w:proofErr w:type="gramStart"/>
      <w:r>
        <w:t xml:space="preserve">, </w:t>
      </w:r>
      <w:proofErr w:type="gramEnd"/>
      <w:r w:rsidRPr="00837577">
        <w:rPr>
          <w:position w:val="-12"/>
        </w:rPr>
        <w:object w:dxaOrig="9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8.8pt" o:ole="">
            <v:imagedata r:id="rId12" o:title=""/>
          </v:shape>
          <o:OLEObject Type="Embed" ProgID="Equation.3" ShapeID="_x0000_i1025" DrawAspect="Content" ObjectID="_1331623388" r:id="rId13"/>
        </w:object>
      </w:r>
      <w:r>
        <w:t xml:space="preserve">. </w:t>
      </w:r>
      <w:r w:rsidRPr="004B114C">
        <w:t>Th</w:t>
      </w:r>
      <w:r>
        <w:t>is implies that</w:t>
      </w:r>
      <w:r w:rsidRPr="004B114C">
        <w:t xml:space="preserve"> the bad project is not necessarily riskier than the good project. Alternatively, we could have sp</w:t>
      </w:r>
      <w:r>
        <w:t>ecified the quality of the projects using different probabilities of a low versus high outcome.</w:t>
      </w:r>
    </w:p>
    <w:p w:rsidR="00FF5A6E" w:rsidRPr="00F3525F" w:rsidRDefault="00FF5A6E" w:rsidP="00D060DD">
      <w:pPr>
        <w:pStyle w:val="Default"/>
        <w:spacing w:line="480" w:lineRule="auto"/>
        <w:ind w:firstLine="720"/>
        <w:jc w:val="both"/>
        <w:rPr>
          <w:rFonts w:ascii="Times New Roman" w:hAnsi="Times New Roman"/>
        </w:rPr>
      </w:pPr>
      <w:r>
        <w:rPr>
          <w:rFonts w:ascii="Times New Roman" w:hAnsi="Times New Roman"/>
        </w:rPr>
        <w:t>The assets in place, represented by p</w:t>
      </w:r>
      <w:r w:rsidRPr="00837577">
        <w:rPr>
          <w:rFonts w:ascii="Times New Roman" w:hAnsi="Times New Roman"/>
        </w:rPr>
        <w:t xml:space="preserve">roject </w:t>
      </w:r>
      <w:r w:rsidRPr="00837577">
        <w:rPr>
          <w:rFonts w:ascii="Times New Roman" w:hAnsi="Times New Roman"/>
          <w:i/>
        </w:rPr>
        <w:t>w</w:t>
      </w:r>
      <w:r>
        <w:rPr>
          <w:rFonts w:ascii="Times New Roman" w:hAnsi="Times New Roman"/>
        </w:rPr>
        <w:t xml:space="preserve">, </w:t>
      </w:r>
      <w:r w:rsidRPr="00837577">
        <w:rPr>
          <w:rFonts w:ascii="Times New Roman" w:hAnsi="Times New Roman"/>
        </w:rPr>
        <w:t>w</w:t>
      </w:r>
      <w:r>
        <w:rPr>
          <w:rFonts w:ascii="Times New Roman" w:hAnsi="Times New Roman"/>
        </w:rPr>
        <w:t xml:space="preserve">ere </w:t>
      </w:r>
      <w:r w:rsidRPr="00837577">
        <w:rPr>
          <w:rFonts w:ascii="Times New Roman" w:hAnsi="Times New Roman"/>
        </w:rPr>
        <w:t xml:space="preserve">launched </w:t>
      </w:r>
      <w:r>
        <w:rPr>
          <w:rFonts w:ascii="Times New Roman" w:hAnsi="Times New Roman"/>
        </w:rPr>
        <w:t xml:space="preserve">sometime </w:t>
      </w:r>
      <w:r w:rsidRPr="00837577">
        <w:rPr>
          <w:rFonts w:ascii="Times New Roman" w:hAnsi="Times New Roman"/>
        </w:rPr>
        <w:t xml:space="preserve">in the past, say time </w:t>
      </w:r>
      <w:r w:rsidRPr="00837577">
        <w:rPr>
          <w:rFonts w:ascii="Times New Roman" w:hAnsi="Times New Roman"/>
          <w:i/>
        </w:rPr>
        <w:t>t</w:t>
      </w:r>
      <w:r>
        <w:rPr>
          <w:rFonts w:ascii="Times New Roman" w:hAnsi="Times New Roman"/>
          <w:i/>
          <w:vertAlign w:val="subscript"/>
        </w:rPr>
        <w:sym w:font="Symbol" w:char="F02D"/>
      </w:r>
      <w:r>
        <w:rPr>
          <w:rFonts w:ascii="Times New Roman" w:hAnsi="Times New Roman"/>
          <w:i/>
          <w:vertAlign w:val="subscript"/>
        </w:rPr>
        <w:t>1</w:t>
      </w:r>
      <w:r w:rsidRPr="00837577">
        <w:rPr>
          <w:rFonts w:ascii="Times New Roman" w:hAnsi="Times New Roman"/>
        </w:rPr>
        <w:t xml:space="preserve">. At the present time, </w:t>
      </w:r>
      <w:r w:rsidRPr="00837577">
        <w:rPr>
          <w:rFonts w:ascii="Times New Roman" w:hAnsi="Times New Roman"/>
          <w:i/>
        </w:rPr>
        <w:t>t</w:t>
      </w:r>
      <w:r>
        <w:rPr>
          <w:rFonts w:ascii="Times New Roman" w:hAnsi="Times New Roman"/>
          <w:i/>
          <w:vertAlign w:val="subscript"/>
        </w:rPr>
        <w:t>0</w:t>
      </w:r>
      <w:r w:rsidRPr="00837577">
        <w:rPr>
          <w:rFonts w:ascii="Times New Roman" w:hAnsi="Times New Roman"/>
        </w:rPr>
        <w:t xml:space="preserve">, </w:t>
      </w:r>
      <w:r>
        <w:rPr>
          <w:rFonts w:ascii="Times New Roman" w:hAnsi="Times New Roman"/>
        </w:rPr>
        <w:t>outside financiers</w:t>
      </w:r>
      <w:r w:rsidRPr="00837577">
        <w:rPr>
          <w:rFonts w:ascii="Times New Roman" w:hAnsi="Times New Roman"/>
        </w:rPr>
        <w:t xml:space="preserve"> </w:t>
      </w:r>
      <w:r>
        <w:rPr>
          <w:rFonts w:ascii="Times New Roman" w:hAnsi="Times New Roman"/>
        </w:rPr>
        <w:t xml:space="preserve">cannot distinguish between firm type in terms </w:t>
      </w:r>
      <w:r>
        <w:rPr>
          <w:rFonts w:ascii="Times New Roman" w:hAnsi="Times New Roman"/>
        </w:rPr>
        <w:lastRenderedPageBreak/>
        <w:t xml:space="preserve">of </w:t>
      </w:r>
      <w:r w:rsidRPr="00837577">
        <w:rPr>
          <w:rFonts w:ascii="Times New Roman" w:hAnsi="Times New Roman"/>
        </w:rPr>
        <w:t xml:space="preserve">whether </w:t>
      </w:r>
      <w:r>
        <w:rPr>
          <w:rFonts w:ascii="Times New Roman" w:hAnsi="Times New Roman"/>
        </w:rPr>
        <w:t>the firm</w:t>
      </w:r>
      <w:r w:rsidRPr="00837577">
        <w:rPr>
          <w:rFonts w:ascii="Times New Roman" w:hAnsi="Times New Roman"/>
        </w:rPr>
        <w:t xml:space="preserve"> </w:t>
      </w:r>
      <w:r>
        <w:rPr>
          <w:rFonts w:ascii="Times New Roman" w:hAnsi="Times New Roman"/>
        </w:rPr>
        <w:t xml:space="preserve">is endowed with </w:t>
      </w:r>
      <w:r>
        <w:rPr>
          <w:rFonts w:ascii="Times New Roman" w:hAnsi="Times New Roman"/>
          <w:i/>
        </w:rPr>
        <w:t>w</w:t>
      </w:r>
      <w:r>
        <w:rPr>
          <w:rFonts w:ascii="Times New Roman" w:hAnsi="Times New Roman"/>
          <w:i/>
          <w:vertAlign w:val="subscript"/>
        </w:rPr>
        <w:t>G</w:t>
      </w:r>
      <w:r>
        <w:rPr>
          <w:rFonts w:ascii="Times New Roman" w:hAnsi="Times New Roman"/>
          <w:i/>
        </w:rPr>
        <w:t xml:space="preserve"> </w:t>
      </w:r>
      <w:r>
        <w:rPr>
          <w:rFonts w:ascii="Times New Roman" w:hAnsi="Times New Roman"/>
        </w:rPr>
        <w:t xml:space="preserve">or </w:t>
      </w:r>
      <w:r>
        <w:rPr>
          <w:rFonts w:ascii="Times New Roman" w:hAnsi="Times New Roman"/>
          <w:i/>
        </w:rPr>
        <w:t>w</w:t>
      </w:r>
      <w:r>
        <w:rPr>
          <w:rFonts w:ascii="Times New Roman" w:hAnsi="Times New Roman"/>
          <w:i/>
          <w:vertAlign w:val="subscript"/>
        </w:rPr>
        <w:t>B</w:t>
      </w:r>
      <w:r>
        <w:rPr>
          <w:rFonts w:ascii="Times New Roman" w:hAnsi="Times New Roman"/>
          <w:i/>
        </w:rPr>
        <w:t xml:space="preserve">. </w:t>
      </w:r>
      <w:r>
        <w:rPr>
          <w:rFonts w:ascii="Times New Roman" w:hAnsi="Times New Roman"/>
        </w:rPr>
        <w:t xml:space="preserve">Assume </w:t>
      </w:r>
      <w:r w:rsidRPr="00837577">
        <w:rPr>
          <w:rFonts w:ascii="Times New Roman" w:hAnsi="Times New Roman"/>
        </w:rPr>
        <w:t xml:space="preserve">the firm </w:t>
      </w:r>
      <w:r>
        <w:rPr>
          <w:rFonts w:ascii="Times New Roman" w:hAnsi="Times New Roman"/>
        </w:rPr>
        <w:t xml:space="preserve">previously </w:t>
      </w:r>
      <w:r w:rsidRPr="00837577">
        <w:rPr>
          <w:rFonts w:ascii="Times New Roman" w:hAnsi="Times New Roman"/>
        </w:rPr>
        <w:t xml:space="preserve">issued debt </w:t>
      </w:r>
      <w:r>
        <w:rPr>
          <w:rFonts w:ascii="Times New Roman" w:hAnsi="Times New Roman"/>
        </w:rPr>
        <w:t xml:space="preserve">with a current value </w:t>
      </w:r>
      <w:r w:rsidRPr="00837577">
        <w:rPr>
          <w:rFonts w:ascii="Times New Roman" w:hAnsi="Times New Roman"/>
        </w:rPr>
        <w:t xml:space="preserve">equal to </w:t>
      </w:r>
      <w:r w:rsidRPr="004F06BF">
        <w:rPr>
          <w:rFonts w:ascii="Times New Roman" w:hAnsi="Times New Roman"/>
          <w:i/>
        </w:rPr>
        <w:t>B</w:t>
      </w:r>
      <w:r>
        <w:rPr>
          <w:rFonts w:ascii="Times New Roman" w:hAnsi="Times New Roman"/>
          <w:i/>
          <w:vertAlign w:val="subscript"/>
        </w:rPr>
        <w:t>w</w:t>
      </w:r>
      <w:r w:rsidRPr="00837577">
        <w:rPr>
          <w:rFonts w:ascii="Times New Roman" w:hAnsi="Times New Roman"/>
        </w:rPr>
        <w:t xml:space="preserve"> to </w:t>
      </w:r>
      <w:r>
        <w:rPr>
          <w:rFonts w:ascii="Times New Roman" w:hAnsi="Times New Roman"/>
        </w:rPr>
        <w:t xml:space="preserve">help </w:t>
      </w:r>
      <w:r w:rsidRPr="00837577">
        <w:rPr>
          <w:rFonts w:ascii="Times New Roman" w:hAnsi="Times New Roman"/>
        </w:rPr>
        <w:t xml:space="preserve">fund project </w:t>
      </w:r>
      <w:r w:rsidRPr="004F06BF">
        <w:rPr>
          <w:rFonts w:ascii="Times New Roman" w:hAnsi="Times New Roman"/>
          <w:i/>
        </w:rPr>
        <w:t>w</w:t>
      </w:r>
      <w:r w:rsidRPr="00837577">
        <w:rPr>
          <w:rFonts w:ascii="Times New Roman" w:hAnsi="Times New Roman"/>
        </w:rPr>
        <w:t>.</w:t>
      </w:r>
      <w:r>
        <w:rPr>
          <w:rFonts w:ascii="Times New Roman" w:hAnsi="Times New Roman"/>
        </w:rPr>
        <w:t xml:space="preserve"> Because asset quality is indistinguishable </w:t>
      </w:r>
      <w:r>
        <w:rPr>
          <w:rFonts w:ascii="Times New Roman" w:hAnsi="Times New Roman"/>
          <w:i/>
        </w:rPr>
        <w:t>ex ante</w:t>
      </w:r>
      <w:r>
        <w:rPr>
          <w:rFonts w:ascii="Times New Roman" w:hAnsi="Times New Roman"/>
        </w:rPr>
        <w:t>,</w:t>
      </w:r>
      <w:r w:rsidRPr="00837577">
        <w:rPr>
          <w:rFonts w:ascii="Times New Roman" w:hAnsi="Times New Roman"/>
        </w:rPr>
        <w:t xml:space="preserve"> </w:t>
      </w:r>
      <w:r w:rsidRPr="004F06BF">
        <w:rPr>
          <w:rFonts w:ascii="Times New Roman" w:hAnsi="Times New Roman"/>
          <w:i/>
        </w:rPr>
        <w:t>B</w:t>
      </w:r>
      <w:r>
        <w:rPr>
          <w:rFonts w:ascii="Times New Roman" w:hAnsi="Times New Roman"/>
          <w:i/>
          <w:vertAlign w:val="subscript"/>
        </w:rPr>
        <w:t>w</w:t>
      </w:r>
      <w:r w:rsidRPr="00837577">
        <w:rPr>
          <w:rFonts w:ascii="Times New Roman" w:hAnsi="Times New Roman"/>
        </w:rPr>
        <w:t xml:space="preserve"> is </w:t>
      </w:r>
      <w:r>
        <w:rPr>
          <w:rFonts w:ascii="Times New Roman" w:hAnsi="Times New Roman"/>
        </w:rPr>
        <w:t>a</w:t>
      </w:r>
      <w:r w:rsidRPr="00837577">
        <w:rPr>
          <w:rFonts w:ascii="Times New Roman" w:hAnsi="Times New Roman"/>
        </w:rPr>
        <w:t xml:space="preserve"> price that reflects ignorance</w:t>
      </w:r>
      <w:r>
        <w:rPr>
          <w:rFonts w:ascii="Times New Roman" w:hAnsi="Times New Roman"/>
        </w:rPr>
        <w:t>, or a pooling, with respect to</w:t>
      </w:r>
      <w:r w:rsidRPr="00837577">
        <w:rPr>
          <w:rFonts w:ascii="Times New Roman" w:hAnsi="Times New Roman"/>
        </w:rPr>
        <w:t xml:space="preserve"> the </w:t>
      </w:r>
      <w:r>
        <w:rPr>
          <w:rFonts w:ascii="Times New Roman" w:hAnsi="Times New Roman"/>
        </w:rPr>
        <w:t>true</w:t>
      </w:r>
      <w:r w:rsidRPr="00837577">
        <w:rPr>
          <w:rFonts w:ascii="Times New Roman" w:hAnsi="Times New Roman"/>
        </w:rPr>
        <w:t xml:space="preserve"> </w:t>
      </w:r>
      <w:r w:rsidRPr="004F06BF">
        <w:rPr>
          <w:rFonts w:ascii="Times New Roman" w:hAnsi="Times New Roman"/>
          <w:i/>
        </w:rPr>
        <w:t>w</w:t>
      </w:r>
      <w:r w:rsidRPr="00837577">
        <w:rPr>
          <w:rFonts w:ascii="Times New Roman" w:hAnsi="Times New Roman"/>
        </w:rPr>
        <w:t xml:space="preserve">. </w:t>
      </w:r>
      <w:r>
        <w:rPr>
          <w:rFonts w:ascii="Times New Roman" w:hAnsi="Times New Roman"/>
        </w:rPr>
        <w:t xml:space="preserve">Said differently, based on full information, a </w:t>
      </w:r>
      <w:r>
        <w:rPr>
          <w:rFonts w:ascii="Times New Roman" w:hAnsi="Times New Roman"/>
          <w:i/>
        </w:rPr>
        <w:t>G-</w:t>
      </w:r>
      <w:r>
        <w:rPr>
          <w:rFonts w:ascii="Times New Roman" w:hAnsi="Times New Roman"/>
        </w:rPr>
        <w:t>quality</w:t>
      </w:r>
      <w:r>
        <w:rPr>
          <w:rFonts w:ascii="Times New Roman" w:hAnsi="Times New Roman"/>
          <w:i/>
        </w:rPr>
        <w:t xml:space="preserve"> </w:t>
      </w:r>
      <w:r>
        <w:rPr>
          <w:rFonts w:ascii="Times New Roman" w:hAnsi="Times New Roman"/>
        </w:rPr>
        <w:t xml:space="preserve">firm has lower current leverage and greater debt capacity than a </w:t>
      </w:r>
      <w:r>
        <w:rPr>
          <w:rFonts w:ascii="Times New Roman" w:hAnsi="Times New Roman"/>
          <w:i/>
        </w:rPr>
        <w:t>B</w:t>
      </w:r>
      <w:r>
        <w:rPr>
          <w:rFonts w:ascii="Times New Roman" w:hAnsi="Times New Roman"/>
        </w:rPr>
        <w:t>-quality</w:t>
      </w:r>
      <w:r>
        <w:rPr>
          <w:rFonts w:ascii="Times New Roman" w:hAnsi="Times New Roman"/>
          <w:i/>
        </w:rPr>
        <w:t xml:space="preserve"> </w:t>
      </w:r>
      <w:r>
        <w:rPr>
          <w:rFonts w:ascii="Times New Roman" w:hAnsi="Times New Roman"/>
        </w:rPr>
        <w:t xml:space="preserve">firm at time </w:t>
      </w:r>
      <w:r>
        <w:rPr>
          <w:rFonts w:ascii="Times New Roman" w:hAnsi="Times New Roman"/>
          <w:i/>
        </w:rPr>
        <w:t>t</w:t>
      </w:r>
      <w:r>
        <w:rPr>
          <w:rFonts w:ascii="Times New Roman" w:hAnsi="Times New Roman"/>
          <w:i/>
          <w:vertAlign w:val="subscript"/>
        </w:rPr>
        <w:t>0</w:t>
      </w:r>
      <w:r>
        <w:rPr>
          <w:rFonts w:ascii="Times New Roman" w:hAnsi="Times New Roman"/>
        </w:rPr>
        <w:t>.</w:t>
      </w:r>
    </w:p>
    <w:p w:rsidR="00FF5A6E" w:rsidRDefault="00FF5A6E" w:rsidP="00D060DD">
      <w:pPr>
        <w:pStyle w:val="Default"/>
        <w:spacing w:line="480" w:lineRule="auto"/>
        <w:ind w:firstLine="720"/>
        <w:jc w:val="both"/>
        <w:rPr>
          <w:rFonts w:ascii="Times New Roman" w:hAnsi="Times New Roman"/>
        </w:rPr>
      </w:pPr>
      <w:r w:rsidRPr="00F84944">
        <w:rPr>
          <w:rFonts w:ascii="Times New Roman" w:hAnsi="Times New Roman"/>
        </w:rPr>
        <w:t xml:space="preserve">At time </w:t>
      </w:r>
      <w:r w:rsidRPr="00F84944">
        <w:rPr>
          <w:rFonts w:ascii="Times New Roman" w:hAnsi="Times New Roman"/>
          <w:i/>
        </w:rPr>
        <w:t>t</w:t>
      </w:r>
      <w:r w:rsidRPr="00F84944">
        <w:rPr>
          <w:rFonts w:ascii="Times New Roman" w:hAnsi="Times New Roman"/>
          <w:i/>
          <w:vertAlign w:val="subscript"/>
        </w:rPr>
        <w:t>0</w:t>
      </w:r>
      <w:r>
        <w:rPr>
          <w:rFonts w:ascii="Times New Roman" w:hAnsi="Times New Roman"/>
          <w:i/>
          <w:vertAlign w:val="subscript"/>
        </w:rPr>
        <w:t>+</w:t>
      </w:r>
      <w:r w:rsidRPr="00F84944">
        <w:rPr>
          <w:rFonts w:ascii="Times New Roman" w:hAnsi="Times New Roman"/>
        </w:rPr>
        <w:t xml:space="preserve"> the firm has the </w:t>
      </w:r>
      <w:r>
        <w:rPr>
          <w:rFonts w:ascii="Times New Roman" w:hAnsi="Times New Roman"/>
        </w:rPr>
        <w:t>opportunity</w:t>
      </w:r>
      <w:r w:rsidRPr="00F84944">
        <w:rPr>
          <w:rFonts w:ascii="Times New Roman" w:hAnsi="Times New Roman"/>
        </w:rPr>
        <w:t xml:space="preserve"> of launching another project, </w:t>
      </w:r>
      <w:r w:rsidRPr="00F84944">
        <w:rPr>
          <w:rFonts w:ascii="Times New Roman" w:hAnsi="Times New Roman"/>
          <w:i/>
          <w:iCs/>
        </w:rPr>
        <w:t>u</w:t>
      </w:r>
      <w:r>
        <w:rPr>
          <w:rFonts w:ascii="Times New Roman" w:hAnsi="Times New Roman"/>
        </w:rPr>
        <w:t>. Payoffs to the project do not depend on firm type, and will be realized in one period. These payoffs are binary outcomes, either high or low</w:t>
      </w:r>
      <w:r w:rsidRPr="00F84944">
        <w:rPr>
          <w:rFonts w:ascii="Times New Roman" w:hAnsi="Times New Roman"/>
        </w:rPr>
        <w:t xml:space="preserve">. </w:t>
      </w:r>
      <w:r>
        <w:rPr>
          <w:rFonts w:ascii="Times New Roman" w:hAnsi="Times New Roman"/>
        </w:rPr>
        <w:t>The</w:t>
      </w:r>
      <w:r w:rsidRPr="00F84944">
        <w:rPr>
          <w:rFonts w:ascii="Times New Roman" w:hAnsi="Times New Roman"/>
        </w:rPr>
        <w:t xml:space="preserve"> high payoff, </w:t>
      </w:r>
      <w:proofErr w:type="gramStart"/>
      <w:r w:rsidRPr="00F84944">
        <w:rPr>
          <w:rFonts w:ascii="Times New Roman" w:hAnsi="Times New Roman"/>
          <w:i/>
          <w:iCs/>
        </w:rPr>
        <w:t>u</w:t>
      </w:r>
      <w:r w:rsidRPr="00B04F80">
        <w:rPr>
          <w:rFonts w:ascii="Times New Roman" w:hAnsi="Times New Roman"/>
          <w:i/>
          <w:iCs/>
          <w:vertAlign w:val="superscript"/>
        </w:rPr>
        <w:t>H</w:t>
      </w:r>
      <w:r w:rsidRPr="00F84944">
        <w:rPr>
          <w:rFonts w:ascii="Times New Roman" w:hAnsi="Times New Roman"/>
          <w:iCs/>
        </w:rPr>
        <w:t xml:space="preserve"> </w:t>
      </w:r>
      <w:r w:rsidRPr="00F84944">
        <w:rPr>
          <w:rFonts w:ascii="Times New Roman" w:hAnsi="Times New Roman"/>
        </w:rPr>
        <w:t>,</w:t>
      </w:r>
      <w:proofErr w:type="gramEnd"/>
      <w:r w:rsidRPr="00F84944">
        <w:rPr>
          <w:rFonts w:ascii="Times New Roman" w:hAnsi="Times New Roman"/>
        </w:rPr>
        <w:t xml:space="preserve"> </w:t>
      </w:r>
      <w:r>
        <w:rPr>
          <w:rFonts w:ascii="Times New Roman" w:hAnsi="Times New Roman"/>
        </w:rPr>
        <w:t xml:space="preserve">is </w:t>
      </w:r>
      <w:r w:rsidRPr="00F84944">
        <w:rPr>
          <w:rFonts w:ascii="Times New Roman" w:hAnsi="Times New Roman"/>
        </w:rPr>
        <w:t xml:space="preserve">equal to the expectation of </w:t>
      </w:r>
      <w:r w:rsidRPr="00B04F80">
        <w:rPr>
          <w:position w:val="-10"/>
        </w:rPr>
        <w:object w:dxaOrig="380" w:dyaOrig="360">
          <v:shape id="_x0000_i1026" type="#_x0000_t75" style="width:18.8pt;height:18.25pt" o:ole="">
            <v:imagedata r:id="rId14" o:title=""/>
          </v:shape>
          <o:OLEObject Type="Embed" ProgID="Equation.3" ShapeID="_x0000_i1026" DrawAspect="Content" ObjectID="_1331623389" r:id="rId15"/>
        </w:object>
      </w:r>
      <w:proofErr w:type="spellStart"/>
      <w:r w:rsidRPr="00F84944">
        <w:rPr>
          <w:rFonts w:ascii="Times New Roman" w:hAnsi="Times New Roman"/>
        </w:rPr>
        <w:t>and</w:t>
      </w:r>
      <w:proofErr w:type="spellEnd"/>
      <w:r w:rsidRPr="00F84944">
        <w:rPr>
          <w:rFonts w:ascii="Times New Roman" w:hAnsi="Times New Roman"/>
        </w:rPr>
        <w:t xml:space="preserve"> </w:t>
      </w:r>
      <w:r w:rsidRPr="00B04F80">
        <w:rPr>
          <w:position w:val="-12"/>
        </w:rPr>
        <w:object w:dxaOrig="380" w:dyaOrig="380">
          <v:shape id="_x0000_i1027" type="#_x0000_t75" style="width:18.8pt;height:18.8pt" o:ole="">
            <v:imagedata r:id="rId16" o:title=""/>
          </v:shape>
          <o:OLEObject Type="Embed" ProgID="Equation.3" ShapeID="_x0000_i1027" DrawAspect="Content" ObjectID="_1331623390" r:id="rId17"/>
        </w:object>
      </w:r>
      <w:r>
        <w:rPr>
          <w:rFonts w:ascii="Times New Roman" w:hAnsi="Times New Roman"/>
        </w:rPr>
        <w:t>, and the</w:t>
      </w:r>
      <w:r w:rsidRPr="00F84944">
        <w:rPr>
          <w:rFonts w:ascii="Times New Roman" w:hAnsi="Times New Roman"/>
        </w:rPr>
        <w:t xml:space="preserve"> low </w:t>
      </w:r>
      <w:r>
        <w:rPr>
          <w:rFonts w:ascii="Times New Roman" w:hAnsi="Times New Roman"/>
        </w:rPr>
        <w:t>payoff</w:t>
      </w:r>
      <w:r w:rsidRPr="00F84944">
        <w:rPr>
          <w:rFonts w:ascii="Times New Roman" w:hAnsi="Times New Roman"/>
        </w:rPr>
        <w:t xml:space="preserve">, </w:t>
      </w:r>
      <w:r w:rsidRPr="00B04F80">
        <w:rPr>
          <w:rFonts w:ascii="Times New Roman" w:hAnsi="Times New Roman"/>
          <w:i/>
          <w:iCs/>
        </w:rPr>
        <w:t>u</w:t>
      </w:r>
      <w:r w:rsidRPr="00B04F80">
        <w:rPr>
          <w:rFonts w:ascii="Times New Roman" w:hAnsi="Times New Roman"/>
          <w:i/>
          <w:iCs/>
          <w:vertAlign w:val="superscript"/>
        </w:rPr>
        <w:t>L</w:t>
      </w:r>
      <w:r w:rsidRPr="00F84944">
        <w:rPr>
          <w:rFonts w:ascii="Times New Roman" w:hAnsi="Times New Roman"/>
        </w:rPr>
        <w:t xml:space="preserve">, equal to the expectation of </w:t>
      </w:r>
      <w:r w:rsidRPr="00B04F80">
        <w:rPr>
          <w:position w:val="-10"/>
        </w:rPr>
        <w:object w:dxaOrig="340" w:dyaOrig="360">
          <v:shape id="_x0000_i1028" type="#_x0000_t75" style="width:17.2pt;height:18.25pt" o:ole="">
            <v:imagedata r:id="rId18" o:title=""/>
          </v:shape>
          <o:OLEObject Type="Embed" ProgID="Equation.3" ShapeID="_x0000_i1028" DrawAspect="Content" ObjectID="_1331623391" r:id="rId19"/>
        </w:object>
      </w:r>
      <w:proofErr w:type="spellStart"/>
      <w:r w:rsidRPr="00F84944">
        <w:rPr>
          <w:rFonts w:ascii="Times New Roman" w:hAnsi="Times New Roman"/>
        </w:rPr>
        <w:t>and</w:t>
      </w:r>
      <w:proofErr w:type="spellEnd"/>
      <w:r w:rsidRPr="00F84944">
        <w:rPr>
          <w:rFonts w:ascii="Times New Roman" w:hAnsi="Times New Roman"/>
        </w:rPr>
        <w:t xml:space="preserve"> </w:t>
      </w:r>
      <w:r w:rsidRPr="00B04F80">
        <w:rPr>
          <w:position w:val="-12"/>
        </w:rPr>
        <w:object w:dxaOrig="340" w:dyaOrig="380">
          <v:shape id="_x0000_i1029" type="#_x0000_t75" style="width:17.2pt;height:18.8pt" o:ole="">
            <v:imagedata r:id="rId20" o:title=""/>
          </v:shape>
          <o:OLEObject Type="Embed" ProgID="Equation.3" ShapeID="_x0000_i1029" DrawAspect="Content" ObjectID="_1331623392" r:id="rId21"/>
        </w:object>
      </w:r>
      <w:r w:rsidRPr="00F84944">
        <w:rPr>
          <w:rFonts w:ascii="Times New Roman" w:hAnsi="Times New Roman"/>
        </w:rPr>
        <w:t xml:space="preserve">. </w:t>
      </w:r>
      <w:r>
        <w:rPr>
          <w:rFonts w:ascii="Times New Roman" w:hAnsi="Times New Roman"/>
        </w:rPr>
        <w:t xml:space="preserve">Quality and size of the new project are thus exogenous, so they cannot be used to reveal information to outsiders. The new project is, furthermore, “average” as it compares to the assets in place of the two existing firms. More specifically, these payoffs imply that the new project has a lower expected payoff for the </w:t>
      </w:r>
      <w:r>
        <w:rPr>
          <w:rFonts w:ascii="Times New Roman" w:hAnsi="Times New Roman"/>
          <w:i/>
        </w:rPr>
        <w:t>G-</w:t>
      </w:r>
      <w:r>
        <w:rPr>
          <w:rFonts w:ascii="Times New Roman" w:hAnsi="Times New Roman"/>
        </w:rPr>
        <w:t>quality</w:t>
      </w:r>
      <w:r>
        <w:rPr>
          <w:rFonts w:ascii="Times New Roman" w:hAnsi="Times New Roman"/>
          <w:i/>
        </w:rPr>
        <w:t xml:space="preserve"> </w:t>
      </w:r>
      <w:r>
        <w:rPr>
          <w:rFonts w:ascii="Times New Roman" w:hAnsi="Times New Roman"/>
        </w:rPr>
        <w:t xml:space="preserve">firm than the expected payoff to assets in place, whereas the opposite is true for the </w:t>
      </w:r>
      <w:r>
        <w:rPr>
          <w:rFonts w:ascii="Times New Roman" w:hAnsi="Times New Roman"/>
          <w:i/>
        </w:rPr>
        <w:t>B-</w:t>
      </w:r>
      <w:r>
        <w:rPr>
          <w:rFonts w:ascii="Times New Roman" w:hAnsi="Times New Roman"/>
        </w:rPr>
        <w:t>quality</w:t>
      </w:r>
      <w:r>
        <w:rPr>
          <w:rFonts w:ascii="Times New Roman" w:hAnsi="Times New Roman"/>
          <w:i/>
        </w:rPr>
        <w:t xml:space="preserve"> </w:t>
      </w:r>
      <w:r>
        <w:rPr>
          <w:rFonts w:ascii="Times New Roman" w:hAnsi="Times New Roman"/>
        </w:rPr>
        <w:t>firm. To simplify the analysis, a</w:t>
      </w:r>
      <w:r w:rsidRPr="00F84944">
        <w:rPr>
          <w:rFonts w:ascii="Times New Roman" w:hAnsi="Times New Roman"/>
        </w:rPr>
        <w:t xml:space="preserve">ssume that the </w:t>
      </w:r>
      <w:r>
        <w:rPr>
          <w:rFonts w:ascii="Times New Roman" w:hAnsi="Times New Roman"/>
        </w:rPr>
        <w:t xml:space="preserve">payoffs to the projects are independent; that is, </w:t>
      </w:r>
      <w:r w:rsidRPr="00B04F80">
        <w:rPr>
          <w:rFonts w:ascii="Times New Roman" w:hAnsi="Times New Roman"/>
          <w:i/>
          <w:iCs/>
        </w:rPr>
        <w:t>w</w:t>
      </w:r>
      <w:r w:rsidRPr="00B04F80">
        <w:rPr>
          <w:rFonts w:ascii="Times New Roman" w:hAnsi="Times New Roman"/>
          <w:i/>
          <w:iCs/>
          <w:position w:val="-6"/>
        </w:rPr>
        <w:object w:dxaOrig="260" w:dyaOrig="279">
          <v:shape id="_x0000_i1030" type="#_x0000_t75" style="width:12.9pt;height:13.95pt" o:ole="">
            <v:imagedata r:id="rId22" o:title=""/>
          </v:shape>
          <o:OLEObject Type="Embed" ProgID="Equation.3" ShapeID="_x0000_i1030" DrawAspect="Content" ObjectID="_1331623393" r:id="rId23"/>
        </w:object>
      </w:r>
      <w:r w:rsidRPr="00B04F80">
        <w:rPr>
          <w:rFonts w:ascii="Times New Roman" w:hAnsi="Times New Roman"/>
          <w:i/>
          <w:iCs/>
        </w:rPr>
        <w:t>u</w:t>
      </w:r>
      <w:r w:rsidRPr="00F84944">
        <w:rPr>
          <w:rFonts w:ascii="Times New Roman" w:hAnsi="Times New Roman"/>
        </w:rPr>
        <w:t xml:space="preserve">=0. </w:t>
      </w:r>
      <w:r>
        <w:rPr>
          <w:rFonts w:ascii="Times New Roman" w:hAnsi="Times New Roman"/>
        </w:rPr>
        <w:t>This assumption is also not necessary to generate our results.</w:t>
      </w: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Unconditionally, the new p</w:t>
      </w:r>
      <w:r w:rsidRPr="00F84944">
        <w:rPr>
          <w:rFonts w:ascii="Times New Roman" w:hAnsi="Times New Roman"/>
        </w:rPr>
        <w:t xml:space="preserve">roject </w:t>
      </w:r>
      <w:r w:rsidRPr="00CA79A7">
        <w:rPr>
          <w:rFonts w:ascii="Times New Roman" w:hAnsi="Times New Roman"/>
          <w:i/>
          <w:iCs/>
        </w:rPr>
        <w:t>u</w:t>
      </w:r>
      <w:r w:rsidRPr="00F84944">
        <w:rPr>
          <w:rFonts w:ascii="Times New Roman" w:hAnsi="Times New Roman"/>
          <w:iCs/>
        </w:rPr>
        <w:t xml:space="preserve"> </w:t>
      </w:r>
      <w:r w:rsidRPr="00F84944">
        <w:rPr>
          <w:rFonts w:ascii="Times New Roman" w:hAnsi="Times New Roman"/>
        </w:rPr>
        <w:t xml:space="preserve">is </w:t>
      </w:r>
      <w:r>
        <w:rPr>
          <w:rFonts w:ascii="Times New Roman" w:hAnsi="Times New Roman"/>
        </w:rPr>
        <w:t xml:space="preserve">optimally </w:t>
      </w:r>
      <w:r w:rsidRPr="00F84944">
        <w:rPr>
          <w:rFonts w:ascii="Times New Roman" w:hAnsi="Times New Roman"/>
        </w:rPr>
        <w:t>finance</w:t>
      </w:r>
      <w:r>
        <w:rPr>
          <w:rFonts w:ascii="Times New Roman" w:hAnsi="Times New Roman"/>
        </w:rPr>
        <w:t>d</w:t>
      </w:r>
      <w:r w:rsidRPr="00F84944">
        <w:rPr>
          <w:rFonts w:ascii="Times New Roman" w:hAnsi="Times New Roman"/>
        </w:rPr>
        <w:t xml:space="preserve"> with debt because </w:t>
      </w:r>
      <w:r>
        <w:rPr>
          <w:rFonts w:ascii="Times New Roman" w:hAnsi="Times New Roman"/>
        </w:rPr>
        <w:t xml:space="preserve">equity issuance occurs at greater relative cost. For the moment assume that prospective creditors for </w:t>
      </w:r>
      <w:r>
        <w:rPr>
          <w:rFonts w:ascii="Times New Roman" w:hAnsi="Times New Roman"/>
          <w:i/>
        </w:rPr>
        <w:t>u</w:t>
      </w:r>
      <w:r>
        <w:rPr>
          <w:rFonts w:ascii="Times New Roman" w:hAnsi="Times New Roman"/>
        </w:rPr>
        <w:t>, who operate in a competitive loan market, are unable</w:t>
      </w:r>
      <w:r w:rsidRPr="00F84944">
        <w:rPr>
          <w:rFonts w:ascii="Times New Roman" w:hAnsi="Times New Roman"/>
        </w:rPr>
        <w:t xml:space="preserve"> to identify the quality of the firm </w:t>
      </w:r>
      <w:r>
        <w:rPr>
          <w:rFonts w:ascii="Times New Roman" w:hAnsi="Times New Roman"/>
        </w:rPr>
        <w:t xml:space="preserve">of a </w:t>
      </w:r>
      <w:r w:rsidRPr="00F84944">
        <w:rPr>
          <w:rFonts w:ascii="Times New Roman" w:hAnsi="Times New Roman"/>
        </w:rPr>
        <w:t>given type</w:t>
      </w:r>
      <w:r>
        <w:rPr>
          <w:rFonts w:ascii="Times New Roman" w:hAnsi="Times New Roman"/>
        </w:rPr>
        <w:t xml:space="preserve"> </w:t>
      </w:r>
      <w:r w:rsidRPr="00CA79A7">
        <w:rPr>
          <w:rFonts w:ascii="Times New Roman" w:hAnsi="Times New Roman"/>
          <w:i/>
        </w:rPr>
        <w:t>w</w:t>
      </w:r>
      <w:r>
        <w:rPr>
          <w:rFonts w:ascii="Times New Roman" w:hAnsi="Times New Roman"/>
        </w:rPr>
        <w:t>.</w:t>
      </w:r>
      <w:r w:rsidRPr="00F84944">
        <w:rPr>
          <w:rFonts w:ascii="Times New Roman" w:hAnsi="Times New Roman"/>
        </w:rPr>
        <w:t xml:space="preserve"> The issuance of new debt poses a problem to the creditors of project </w:t>
      </w:r>
      <w:r w:rsidRPr="00A30AB5">
        <w:rPr>
          <w:rFonts w:ascii="Times New Roman" w:hAnsi="Times New Roman"/>
          <w:i/>
          <w:iCs/>
        </w:rPr>
        <w:t>u</w:t>
      </w:r>
      <w:r w:rsidRPr="00F84944">
        <w:rPr>
          <w:rFonts w:ascii="Times New Roman" w:hAnsi="Times New Roman"/>
        </w:rPr>
        <w:t xml:space="preserve">. Should the debt </w:t>
      </w:r>
      <w:r>
        <w:rPr>
          <w:rFonts w:ascii="Times New Roman" w:hAnsi="Times New Roman"/>
        </w:rPr>
        <w:t>offered to finance</w:t>
      </w:r>
      <w:r w:rsidRPr="00F84944">
        <w:rPr>
          <w:rFonts w:ascii="Times New Roman" w:hAnsi="Times New Roman"/>
        </w:rPr>
        <w:t xml:space="preserve"> project </w:t>
      </w:r>
      <w:r w:rsidRPr="00A30AB5">
        <w:rPr>
          <w:rFonts w:ascii="Times New Roman" w:hAnsi="Times New Roman"/>
          <w:i/>
          <w:iCs/>
        </w:rPr>
        <w:t>u</w:t>
      </w:r>
      <w:r w:rsidRPr="00F84944">
        <w:rPr>
          <w:rFonts w:ascii="Times New Roman" w:hAnsi="Times New Roman"/>
          <w:iCs/>
        </w:rPr>
        <w:t xml:space="preserve"> </w:t>
      </w:r>
      <w:r w:rsidRPr="00F84944">
        <w:rPr>
          <w:rFonts w:ascii="Times New Roman" w:hAnsi="Times New Roman"/>
        </w:rPr>
        <w:t xml:space="preserve">be secured or unsecured? </w:t>
      </w:r>
      <w:r>
        <w:rPr>
          <w:rFonts w:ascii="Times New Roman" w:hAnsi="Times New Roman"/>
        </w:rPr>
        <w:t>H</w:t>
      </w:r>
      <w:r w:rsidRPr="00F84944">
        <w:rPr>
          <w:rFonts w:ascii="Times New Roman" w:hAnsi="Times New Roman"/>
        </w:rPr>
        <w:t xml:space="preserve">ow can creditors of project </w:t>
      </w:r>
      <w:r w:rsidRPr="00A30AB5">
        <w:rPr>
          <w:rFonts w:ascii="Times New Roman" w:hAnsi="Times New Roman"/>
          <w:i/>
          <w:iCs/>
        </w:rPr>
        <w:t>u</w:t>
      </w:r>
      <w:r w:rsidRPr="00F84944">
        <w:rPr>
          <w:rFonts w:ascii="Times New Roman" w:hAnsi="Times New Roman"/>
          <w:iCs/>
        </w:rPr>
        <w:t xml:space="preserve"> </w:t>
      </w:r>
      <w:r w:rsidRPr="00F84944">
        <w:rPr>
          <w:rFonts w:ascii="Times New Roman" w:hAnsi="Times New Roman"/>
        </w:rPr>
        <w:t xml:space="preserve">screen borrowers </w:t>
      </w:r>
      <w:r>
        <w:rPr>
          <w:rFonts w:ascii="Times New Roman" w:hAnsi="Times New Roman"/>
        </w:rPr>
        <w:t>in an attempt to</w:t>
      </w:r>
      <w:r w:rsidRPr="00F84944">
        <w:rPr>
          <w:rFonts w:ascii="Times New Roman" w:hAnsi="Times New Roman"/>
        </w:rPr>
        <w:t xml:space="preserve"> identify their </w:t>
      </w:r>
      <w:r>
        <w:rPr>
          <w:rFonts w:ascii="Times New Roman" w:hAnsi="Times New Roman"/>
        </w:rPr>
        <w:t xml:space="preserve">true </w:t>
      </w:r>
      <w:r w:rsidRPr="00F84944">
        <w:rPr>
          <w:rFonts w:ascii="Times New Roman" w:hAnsi="Times New Roman"/>
        </w:rPr>
        <w:t>quality? What does th</w:t>
      </w:r>
      <w:r>
        <w:rPr>
          <w:rFonts w:ascii="Times New Roman" w:hAnsi="Times New Roman"/>
        </w:rPr>
        <w:t>is</w:t>
      </w:r>
      <w:r w:rsidRPr="00F84944">
        <w:rPr>
          <w:rFonts w:ascii="Times New Roman" w:hAnsi="Times New Roman"/>
        </w:rPr>
        <w:t xml:space="preserve"> do to the capital structure </w:t>
      </w:r>
      <w:r>
        <w:rPr>
          <w:rFonts w:ascii="Times New Roman" w:hAnsi="Times New Roman"/>
        </w:rPr>
        <w:t>of</w:t>
      </w:r>
      <w:r w:rsidRPr="00F84944">
        <w:rPr>
          <w:rFonts w:ascii="Times New Roman" w:hAnsi="Times New Roman"/>
        </w:rPr>
        <w:t xml:space="preserve"> project </w:t>
      </w:r>
      <w:r w:rsidRPr="00A30AB5">
        <w:rPr>
          <w:rFonts w:ascii="Times New Roman" w:hAnsi="Times New Roman"/>
          <w:i/>
          <w:iCs/>
        </w:rPr>
        <w:t>u</w:t>
      </w:r>
      <w:r>
        <w:rPr>
          <w:rFonts w:ascii="Times New Roman" w:hAnsi="Times New Roman"/>
        </w:rPr>
        <w:t>, in terms of the price and quantity of debt offered?</w:t>
      </w: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lastRenderedPageBreak/>
        <w:t xml:space="preserve">To begin to answer these questions, consider payoffs to the bondholders as they depend on the type of debt issued to finance project </w:t>
      </w:r>
      <w:r>
        <w:rPr>
          <w:rFonts w:ascii="Times New Roman" w:hAnsi="Times New Roman"/>
          <w:i/>
        </w:rPr>
        <w:t>u.</w:t>
      </w:r>
      <w:r>
        <w:rPr>
          <w:rFonts w:ascii="Times New Roman" w:hAnsi="Times New Roman"/>
        </w:rPr>
        <w:t xml:space="preserve"> For simplicity, we will assume that the project can be fully debt financed in the secured debt market. We will also assume that there is no commitment value to any liquidity held by the firm that exists prior to investment in </w:t>
      </w:r>
      <w:r>
        <w:rPr>
          <w:rFonts w:ascii="Times New Roman" w:hAnsi="Times New Roman"/>
          <w:i/>
        </w:rPr>
        <w:t xml:space="preserve">u </w:t>
      </w:r>
      <w:r>
        <w:rPr>
          <w:rFonts w:ascii="Times New Roman" w:hAnsi="Times New Roman"/>
        </w:rPr>
        <w:t>(Myers and Rajan (1998)). Consequently, i</w:t>
      </w:r>
      <w:r w:rsidRPr="00797C5A">
        <w:rPr>
          <w:rFonts w:ascii="Times New Roman" w:hAnsi="Times New Roman"/>
        </w:rPr>
        <w:t xml:space="preserve">f the </w:t>
      </w:r>
      <w:r>
        <w:rPr>
          <w:rFonts w:ascii="Times New Roman" w:hAnsi="Times New Roman"/>
        </w:rPr>
        <w:t xml:space="preserve">new </w:t>
      </w:r>
      <w:r w:rsidRPr="0078607D">
        <w:rPr>
          <w:rFonts w:ascii="Times New Roman" w:hAnsi="Times New Roman"/>
        </w:rPr>
        <w:t xml:space="preserve">debt is </w:t>
      </w:r>
      <w:r w:rsidRPr="003E0ACC">
        <w:rPr>
          <w:rFonts w:ascii="Times New Roman" w:hAnsi="Times New Roman"/>
          <w:i/>
        </w:rPr>
        <w:t>secured</w:t>
      </w:r>
      <w:r w:rsidRPr="00797C5A">
        <w:rPr>
          <w:rFonts w:ascii="Times New Roman" w:hAnsi="Times New Roman"/>
        </w:rPr>
        <w:t xml:space="preserve">, bondholders of </w:t>
      </w:r>
      <w:r w:rsidRPr="00D86516">
        <w:rPr>
          <w:rFonts w:ascii="Times New Roman" w:hAnsi="Times New Roman"/>
          <w:i/>
          <w:iCs/>
        </w:rPr>
        <w:t>w</w:t>
      </w:r>
      <w:r w:rsidRPr="00797C5A">
        <w:rPr>
          <w:rFonts w:ascii="Times New Roman" w:hAnsi="Times New Roman"/>
          <w:iCs/>
        </w:rPr>
        <w:t xml:space="preserve"> </w:t>
      </w:r>
      <w:r>
        <w:rPr>
          <w:rFonts w:ascii="Times New Roman" w:hAnsi="Times New Roman"/>
        </w:rPr>
        <w:t xml:space="preserve">are unaffected by financing and investment in </w:t>
      </w:r>
      <w:r>
        <w:rPr>
          <w:rFonts w:ascii="Times New Roman" w:hAnsi="Times New Roman"/>
          <w:i/>
        </w:rPr>
        <w:t xml:space="preserve">u. </w:t>
      </w:r>
      <w:r>
        <w:rPr>
          <w:rFonts w:ascii="Times New Roman" w:hAnsi="Times New Roman"/>
        </w:rPr>
        <w:t xml:space="preserve">This follows because, in a </w:t>
      </w:r>
      <w:r w:rsidRPr="00D86516">
        <w:rPr>
          <w:position w:val="-14"/>
        </w:rPr>
        <w:object w:dxaOrig="380" w:dyaOrig="400">
          <v:shape id="_x0000_i1031" type="#_x0000_t75" style="width:18.8pt;height:19.9pt" o:ole="">
            <v:imagedata r:id="rId24" o:title=""/>
          </v:shape>
          <o:OLEObject Type="Embed" ProgID="Equation.3" ShapeID="_x0000_i1031" DrawAspect="Content" ObjectID="_1331623394" r:id="rId25"/>
        </w:object>
      </w:r>
      <w:r>
        <w:rPr>
          <w:rFonts w:ascii="Times New Roman" w:hAnsi="Times New Roman"/>
          <w:i/>
        </w:rPr>
        <w:t xml:space="preserve"> </w:t>
      </w:r>
      <w:r>
        <w:rPr>
          <w:rFonts w:ascii="Times New Roman" w:hAnsi="Times New Roman"/>
        </w:rPr>
        <w:t>state</w:t>
      </w:r>
      <w:r w:rsidRPr="00797C5A">
        <w:rPr>
          <w:rFonts w:ascii="Times New Roman" w:hAnsi="Times New Roman"/>
        </w:rPr>
        <w:t xml:space="preserve">, </w:t>
      </w:r>
      <w:r>
        <w:rPr>
          <w:rFonts w:ascii="Times New Roman" w:hAnsi="Times New Roman"/>
        </w:rPr>
        <w:t xml:space="preserve">the debt is paid in full in the amount of </w:t>
      </w:r>
      <w:proofErr w:type="gramStart"/>
      <w:r>
        <w:rPr>
          <w:rFonts w:ascii="Times New Roman" w:hAnsi="Times New Roman"/>
          <w:i/>
        </w:rPr>
        <w:t>D</w:t>
      </w:r>
      <w:r>
        <w:rPr>
          <w:rFonts w:ascii="Times New Roman" w:hAnsi="Times New Roman"/>
          <w:i/>
          <w:vertAlign w:val="subscript"/>
        </w:rPr>
        <w:t>w</w:t>
      </w:r>
      <w:proofErr w:type="gramEnd"/>
      <w:r>
        <w:rPr>
          <w:rFonts w:ascii="Times New Roman" w:hAnsi="Times New Roman"/>
        </w:rPr>
        <w:t xml:space="preserve">, where </w:t>
      </w:r>
      <w:r>
        <w:rPr>
          <w:rFonts w:ascii="Times New Roman" w:hAnsi="Times New Roman"/>
          <w:i/>
        </w:rPr>
        <w:t>D</w:t>
      </w:r>
      <w:r>
        <w:rPr>
          <w:rFonts w:ascii="Times New Roman" w:hAnsi="Times New Roman"/>
          <w:i/>
          <w:vertAlign w:val="subscript"/>
        </w:rPr>
        <w:t>w</w:t>
      </w:r>
      <w:r>
        <w:rPr>
          <w:rFonts w:ascii="Times New Roman" w:hAnsi="Times New Roman"/>
        </w:rPr>
        <w:t xml:space="preserve"> is the face value of the debt in place.</w:t>
      </w:r>
      <w:r>
        <w:rPr>
          <w:rFonts w:ascii="Times New Roman" w:hAnsi="Times New Roman"/>
          <w:i/>
        </w:rPr>
        <w:t xml:space="preserve"> </w:t>
      </w:r>
      <w:r>
        <w:rPr>
          <w:rFonts w:ascii="Times New Roman" w:hAnsi="Times New Roman"/>
        </w:rPr>
        <w:t xml:space="preserve">In contrast, in a </w:t>
      </w:r>
      <w:r w:rsidRPr="00D86516">
        <w:rPr>
          <w:position w:val="-14"/>
        </w:rPr>
        <w:object w:dxaOrig="340" w:dyaOrig="400">
          <v:shape id="_x0000_i1032" type="#_x0000_t75" style="width:17.2pt;height:19.9pt" o:ole="">
            <v:imagedata r:id="rId26" o:title=""/>
          </v:shape>
          <o:OLEObject Type="Embed" ProgID="Equation.3" ShapeID="_x0000_i1032" DrawAspect="Content" ObjectID="_1331623395" r:id="rId27"/>
        </w:object>
      </w:r>
      <w:r>
        <w:t xml:space="preserve"> </w:t>
      </w:r>
      <w:r>
        <w:rPr>
          <w:rFonts w:ascii="Times New Roman" w:hAnsi="Times New Roman"/>
        </w:rPr>
        <w:t xml:space="preserve">state, default occurs and </w:t>
      </w:r>
      <w:r w:rsidRPr="00D86516">
        <w:rPr>
          <w:position w:val="-14"/>
        </w:rPr>
        <w:object w:dxaOrig="880" w:dyaOrig="400">
          <v:shape id="_x0000_i1033" type="#_x0000_t75" style="width:44.05pt;height:19.9pt" o:ole="">
            <v:imagedata r:id="rId28" o:title=""/>
          </v:shape>
          <o:OLEObject Type="Embed" ProgID="Equation.3" ShapeID="_x0000_i1033" DrawAspect="Content" ObjectID="_1331623396" r:id="rId29"/>
        </w:object>
      </w:r>
      <w:r>
        <w:rPr>
          <w:rFonts w:ascii="Times New Roman" w:hAnsi="Times New Roman"/>
        </w:rPr>
        <w:t xml:space="preserve"> is recovered by the creditor in lieu of full contractual debt repayment</w:t>
      </w:r>
      <w:r w:rsidRPr="00797C5A">
        <w:rPr>
          <w:rFonts w:ascii="Times New Roman" w:hAnsi="Times New Roman"/>
        </w:rPr>
        <w:t xml:space="preserve">. Similarly, bondholders of </w:t>
      </w:r>
      <w:r w:rsidRPr="00D86516">
        <w:rPr>
          <w:rFonts w:ascii="Times New Roman" w:hAnsi="Times New Roman"/>
          <w:i/>
          <w:iCs/>
        </w:rPr>
        <w:t>u</w:t>
      </w:r>
      <w:r w:rsidRPr="00797C5A">
        <w:rPr>
          <w:rFonts w:ascii="Times New Roman" w:hAnsi="Times New Roman"/>
          <w:iCs/>
        </w:rPr>
        <w:t xml:space="preserve"> </w:t>
      </w:r>
      <w:r w:rsidRPr="00797C5A">
        <w:rPr>
          <w:rFonts w:ascii="Times New Roman" w:hAnsi="Times New Roman"/>
        </w:rPr>
        <w:t>receive</w:t>
      </w:r>
      <w:r>
        <w:rPr>
          <w:rFonts w:ascii="Times New Roman" w:hAnsi="Times New Roman"/>
        </w:rPr>
        <w:t xml:space="preserve"> </w:t>
      </w:r>
      <w:bookmarkStart w:id="0" w:name="OLE_LINK1"/>
      <w:bookmarkStart w:id="1" w:name="OLE_LINK2"/>
      <w:r>
        <w:rPr>
          <w:rFonts w:ascii="Times New Roman" w:hAnsi="Times New Roman"/>
          <w:i/>
        </w:rPr>
        <w:t>D</w:t>
      </w:r>
      <w:r>
        <w:rPr>
          <w:rFonts w:ascii="Times New Roman" w:hAnsi="Times New Roman"/>
          <w:i/>
          <w:vertAlign w:val="subscript"/>
        </w:rPr>
        <w:t>u</w:t>
      </w:r>
      <w:bookmarkEnd w:id="0"/>
      <w:bookmarkEnd w:id="1"/>
      <w:r>
        <w:rPr>
          <w:rFonts w:ascii="Times New Roman" w:hAnsi="Times New Roman"/>
          <w:i/>
        </w:rPr>
        <w:t xml:space="preserve"> </w:t>
      </w:r>
      <w:r>
        <w:rPr>
          <w:rFonts w:ascii="Times New Roman" w:hAnsi="Times New Roman"/>
        </w:rPr>
        <w:t xml:space="preserve">in a </w:t>
      </w:r>
      <w:r>
        <w:rPr>
          <w:rFonts w:ascii="Times New Roman" w:hAnsi="Times New Roman"/>
          <w:i/>
        </w:rPr>
        <w:t>u</w:t>
      </w:r>
      <w:r>
        <w:rPr>
          <w:rFonts w:ascii="Times New Roman" w:hAnsi="Times New Roman"/>
          <w:i/>
          <w:vertAlign w:val="superscript"/>
        </w:rPr>
        <w:t>H</w:t>
      </w:r>
      <w:r>
        <w:rPr>
          <w:rFonts w:ascii="Times New Roman" w:hAnsi="Times New Roman"/>
          <w:i/>
        </w:rPr>
        <w:t xml:space="preserve"> </w:t>
      </w:r>
      <w:r>
        <w:rPr>
          <w:rFonts w:ascii="Times New Roman" w:hAnsi="Times New Roman"/>
        </w:rPr>
        <w:t xml:space="preserve">state; </w:t>
      </w:r>
      <w:r w:rsidRPr="00797C5A">
        <w:rPr>
          <w:rFonts w:ascii="Times New Roman" w:hAnsi="Times New Roman"/>
        </w:rPr>
        <w:t>otherwise</w:t>
      </w:r>
      <w:r>
        <w:rPr>
          <w:rFonts w:ascii="Times New Roman" w:hAnsi="Times New Roman"/>
        </w:rPr>
        <w:t>,</w:t>
      </w:r>
      <w:r w:rsidRPr="00797C5A">
        <w:rPr>
          <w:rFonts w:ascii="Times New Roman" w:hAnsi="Times New Roman"/>
        </w:rPr>
        <w:t xml:space="preserve"> </w:t>
      </w:r>
      <w:r>
        <w:rPr>
          <w:rFonts w:ascii="Times New Roman" w:hAnsi="Times New Roman"/>
        </w:rPr>
        <w:t xml:space="preserve">they </w:t>
      </w:r>
      <w:proofErr w:type="gramStart"/>
      <w:r>
        <w:rPr>
          <w:rFonts w:ascii="Times New Roman" w:hAnsi="Times New Roman"/>
        </w:rPr>
        <w:t xml:space="preserve">receive </w:t>
      </w:r>
      <w:proofErr w:type="gramEnd"/>
      <w:r w:rsidRPr="0030644D">
        <w:rPr>
          <w:position w:val="-12"/>
        </w:rPr>
        <w:object w:dxaOrig="820" w:dyaOrig="380">
          <v:shape id="_x0000_i1034" type="#_x0000_t75" style="width:40.85pt;height:18.8pt" o:ole="">
            <v:imagedata r:id="rId30" o:title=""/>
          </v:shape>
          <o:OLEObject Type="Embed" ProgID="Equation.3" ShapeID="_x0000_i1034" DrawAspect="Content" ObjectID="_1331623397" r:id="rId31"/>
        </w:object>
      </w:r>
      <w:r w:rsidRPr="00797C5A">
        <w:rPr>
          <w:rFonts w:ascii="Times New Roman" w:hAnsi="Times New Roman"/>
        </w:rPr>
        <w:t>.</w:t>
      </w:r>
      <w:r>
        <w:rPr>
          <w:rFonts w:ascii="Times New Roman" w:hAnsi="Times New Roman"/>
        </w:rPr>
        <w:t xml:space="preserve"> As stated earlier, payoffs to secured debt on </w:t>
      </w:r>
      <w:r>
        <w:rPr>
          <w:rFonts w:ascii="Times New Roman" w:hAnsi="Times New Roman"/>
          <w:i/>
        </w:rPr>
        <w:t xml:space="preserve">u </w:t>
      </w:r>
      <w:r>
        <w:rPr>
          <w:rFonts w:ascii="Times New Roman" w:hAnsi="Times New Roman"/>
        </w:rPr>
        <w:t xml:space="preserve">are independent of firm type. </w:t>
      </w: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W</w:t>
      </w:r>
      <w:r w:rsidRPr="000F7D88">
        <w:rPr>
          <w:rFonts w:ascii="Times New Roman" w:hAnsi="Times New Roman"/>
        </w:rPr>
        <w:t xml:space="preserve">e assume </w:t>
      </w:r>
      <w:r>
        <w:rPr>
          <w:rFonts w:ascii="Times New Roman" w:hAnsi="Times New Roman"/>
        </w:rPr>
        <w:t>a zero</w:t>
      </w:r>
      <w:r w:rsidRPr="000F7D88">
        <w:rPr>
          <w:rFonts w:ascii="Times New Roman" w:hAnsi="Times New Roman"/>
        </w:rPr>
        <w:t xml:space="preserve"> discount rate and that </w:t>
      </w:r>
      <w:r>
        <w:rPr>
          <w:rFonts w:ascii="Times New Roman" w:hAnsi="Times New Roman"/>
        </w:rPr>
        <w:t>all agents</w:t>
      </w:r>
      <w:r w:rsidRPr="000F7D88">
        <w:rPr>
          <w:rFonts w:ascii="Times New Roman" w:hAnsi="Times New Roman"/>
        </w:rPr>
        <w:t xml:space="preserve"> are risk neutral. </w:t>
      </w:r>
      <w:r>
        <w:rPr>
          <w:rFonts w:ascii="Times New Roman" w:hAnsi="Times New Roman"/>
        </w:rPr>
        <w:t>By f</w:t>
      </w:r>
      <w:r w:rsidRPr="000F7D88">
        <w:rPr>
          <w:rFonts w:ascii="Times New Roman" w:hAnsi="Times New Roman"/>
        </w:rPr>
        <w:t>ixing the pay</w:t>
      </w:r>
      <w:r>
        <w:rPr>
          <w:rFonts w:ascii="Times New Roman" w:hAnsi="Times New Roman"/>
        </w:rPr>
        <w:t>ment dates</w:t>
      </w:r>
      <w:r w:rsidRPr="000F7D88">
        <w:rPr>
          <w:rFonts w:ascii="Times New Roman" w:hAnsi="Times New Roman"/>
        </w:rPr>
        <w:t xml:space="preserve"> at </w:t>
      </w:r>
      <w:r>
        <w:rPr>
          <w:rFonts w:ascii="Times New Roman" w:hAnsi="Times New Roman"/>
        </w:rPr>
        <w:t xml:space="preserve">loan </w:t>
      </w:r>
      <w:r w:rsidRPr="000F7D88">
        <w:rPr>
          <w:rFonts w:ascii="Times New Roman" w:hAnsi="Times New Roman"/>
        </w:rPr>
        <w:t xml:space="preserve">maturity, </w:t>
      </w:r>
      <w:r>
        <w:rPr>
          <w:rFonts w:ascii="Times New Roman" w:hAnsi="Times New Roman"/>
        </w:rPr>
        <w:t>we see that</w:t>
      </w:r>
      <w:r w:rsidRPr="000F7D88">
        <w:rPr>
          <w:rFonts w:ascii="Times New Roman" w:hAnsi="Times New Roman"/>
        </w:rPr>
        <w:t xml:space="preserve"> </w:t>
      </w:r>
      <w:r>
        <w:rPr>
          <w:rFonts w:ascii="Times New Roman" w:hAnsi="Times New Roman"/>
          <w:i/>
        </w:rPr>
        <w:t>B</w:t>
      </w:r>
      <w:r>
        <w:rPr>
          <w:rFonts w:ascii="Times New Roman" w:hAnsi="Times New Roman"/>
          <w:i/>
          <w:vertAlign w:val="subscript"/>
        </w:rPr>
        <w:t>w</w:t>
      </w:r>
      <w:r>
        <w:rPr>
          <w:rFonts w:ascii="Times New Roman" w:hAnsi="Times New Roman"/>
          <w:i/>
        </w:rPr>
        <w:t xml:space="preserve"> </w:t>
      </w:r>
      <w:r>
        <w:rPr>
          <w:rFonts w:ascii="Times New Roman" w:hAnsi="Times New Roman"/>
        </w:rPr>
        <w:t xml:space="preserve">and </w:t>
      </w:r>
      <w:r w:rsidRPr="000F7D88">
        <w:rPr>
          <w:rFonts w:ascii="Times New Roman" w:hAnsi="Times New Roman"/>
          <w:i/>
          <w:iCs/>
        </w:rPr>
        <w:t>B</w:t>
      </w:r>
      <w:r>
        <w:rPr>
          <w:rFonts w:ascii="Times New Roman" w:hAnsi="Times New Roman"/>
          <w:i/>
          <w:iCs/>
          <w:vertAlign w:val="subscript"/>
        </w:rPr>
        <w:t>u</w:t>
      </w:r>
      <w:r w:rsidRPr="000F7D88">
        <w:rPr>
          <w:rFonts w:ascii="Times New Roman" w:hAnsi="Times New Roman"/>
          <w:iCs/>
        </w:rPr>
        <w:t xml:space="preserve"> </w:t>
      </w:r>
      <w:r>
        <w:rPr>
          <w:rFonts w:ascii="Times New Roman" w:hAnsi="Times New Roman"/>
        </w:rPr>
        <w:t>are</w:t>
      </w:r>
      <w:r w:rsidRPr="000F7D88">
        <w:rPr>
          <w:rFonts w:ascii="Times New Roman" w:hAnsi="Times New Roman"/>
        </w:rPr>
        <w:t xml:space="preserve"> just the expected value of payoffs to bondholders of project</w:t>
      </w:r>
      <w:r>
        <w:rPr>
          <w:rFonts w:ascii="Times New Roman" w:hAnsi="Times New Roman"/>
        </w:rPr>
        <w:t xml:space="preserve">s </w:t>
      </w:r>
      <w:r>
        <w:rPr>
          <w:rFonts w:ascii="Times New Roman" w:hAnsi="Times New Roman"/>
          <w:i/>
        </w:rPr>
        <w:t xml:space="preserve">w </w:t>
      </w:r>
      <w:r>
        <w:rPr>
          <w:rFonts w:ascii="Times New Roman" w:hAnsi="Times New Roman"/>
        </w:rPr>
        <w:t xml:space="preserve">and </w:t>
      </w:r>
      <w:r>
        <w:rPr>
          <w:rFonts w:ascii="Times New Roman" w:hAnsi="Times New Roman"/>
          <w:i/>
        </w:rPr>
        <w:t>u</w:t>
      </w:r>
      <w:r>
        <w:rPr>
          <w:rFonts w:ascii="Times New Roman" w:hAnsi="Times New Roman"/>
        </w:rPr>
        <w:t xml:space="preserve"> in the n</w:t>
      </w:r>
      <w:r w:rsidRPr="000F7D88">
        <w:rPr>
          <w:rFonts w:ascii="Times New Roman" w:hAnsi="Times New Roman"/>
        </w:rPr>
        <w:t xml:space="preserve">ext period, </w:t>
      </w:r>
      <w:r w:rsidRPr="000F7D88">
        <w:rPr>
          <w:rFonts w:ascii="Times New Roman" w:hAnsi="Times New Roman"/>
          <w:i/>
        </w:rPr>
        <w:t>t</w:t>
      </w:r>
      <w:r w:rsidRPr="000F7D88">
        <w:rPr>
          <w:rFonts w:ascii="Times New Roman" w:hAnsi="Times New Roman"/>
          <w:i/>
          <w:vertAlign w:val="subscript"/>
        </w:rPr>
        <w:t>1</w:t>
      </w:r>
      <w:r w:rsidRPr="000F7D88">
        <w:rPr>
          <w:rFonts w:ascii="Times New Roman" w:hAnsi="Times New Roman"/>
        </w:rPr>
        <w:t xml:space="preserve">, when the projects’ payoffs are realized and the firm is assumed to be liquidated. </w:t>
      </w: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 xml:space="preserve">Now consider the case of issuing </w:t>
      </w:r>
      <w:r w:rsidRPr="003E0ACC">
        <w:rPr>
          <w:rFonts w:ascii="Times New Roman" w:hAnsi="Times New Roman"/>
          <w:i/>
        </w:rPr>
        <w:t xml:space="preserve">unsecured </w:t>
      </w:r>
      <w:r w:rsidRPr="0078607D">
        <w:rPr>
          <w:rFonts w:ascii="Times New Roman" w:hAnsi="Times New Roman"/>
        </w:rPr>
        <w:t>debt</w:t>
      </w:r>
      <w:r>
        <w:rPr>
          <w:rFonts w:ascii="Times New Roman" w:hAnsi="Times New Roman"/>
        </w:rPr>
        <w:t xml:space="preserve"> to finance </w:t>
      </w:r>
      <w:r>
        <w:rPr>
          <w:rFonts w:ascii="Times New Roman" w:hAnsi="Times New Roman"/>
          <w:i/>
        </w:rPr>
        <w:t xml:space="preserve">u. </w:t>
      </w:r>
      <w:r>
        <w:rPr>
          <w:rFonts w:ascii="Times New Roman" w:hAnsi="Times New Roman"/>
        </w:rPr>
        <w:t xml:space="preserve">Issuing unsecured debt to finance project </w:t>
      </w:r>
      <w:r>
        <w:rPr>
          <w:rFonts w:ascii="Times New Roman" w:hAnsi="Times New Roman"/>
          <w:i/>
        </w:rPr>
        <w:t xml:space="preserve">u </w:t>
      </w:r>
      <w:r>
        <w:rPr>
          <w:rFonts w:ascii="Times New Roman" w:hAnsi="Times New Roman"/>
        </w:rPr>
        <w:t xml:space="preserve">implies that either both projects pay off as promised or both projects default. Default is such that payoffs to </w:t>
      </w:r>
      <w:r>
        <w:rPr>
          <w:rFonts w:ascii="Times New Roman" w:hAnsi="Times New Roman"/>
          <w:i/>
        </w:rPr>
        <w:t xml:space="preserve">w </w:t>
      </w:r>
      <w:r>
        <w:rPr>
          <w:rFonts w:ascii="Times New Roman" w:hAnsi="Times New Roman"/>
        </w:rPr>
        <w:t xml:space="preserve">and </w:t>
      </w:r>
      <w:r>
        <w:rPr>
          <w:rFonts w:ascii="Times New Roman" w:hAnsi="Times New Roman"/>
          <w:i/>
        </w:rPr>
        <w:t>u</w:t>
      </w:r>
      <w:r>
        <w:rPr>
          <w:rFonts w:ascii="Times New Roman" w:hAnsi="Times New Roman"/>
        </w:rPr>
        <w:t xml:space="preserve"> bondholders depend on the pooled payoffs across projects and a </w:t>
      </w:r>
      <w:r w:rsidRPr="00EC6C53">
        <w:rPr>
          <w:rFonts w:ascii="Times New Roman" w:hAnsi="Times New Roman"/>
          <w:i/>
        </w:rPr>
        <w:t>pro rata</w:t>
      </w:r>
      <w:r>
        <w:rPr>
          <w:rFonts w:ascii="Times New Roman" w:hAnsi="Times New Roman"/>
        </w:rPr>
        <w:t xml:space="preserve"> priority allocation rule that applies in the case of default. Consequently, in contrast to others that characterize unsecured debt as having little or no recovery value in default, we do so in the context of cross-collateralizing all of the assets to secure all of the debt of the firm. </w:t>
      </w:r>
    </w:p>
    <w:p w:rsidR="00FF5A6E" w:rsidRPr="00F55EA0" w:rsidRDefault="00FF5A6E" w:rsidP="00D060DD">
      <w:pPr>
        <w:pStyle w:val="Default"/>
        <w:spacing w:line="480" w:lineRule="auto"/>
        <w:ind w:firstLine="720"/>
        <w:jc w:val="both"/>
        <w:rPr>
          <w:rFonts w:ascii="Times New Roman" w:hAnsi="Times New Roman"/>
        </w:rPr>
      </w:pPr>
      <w:r>
        <w:rPr>
          <w:rFonts w:ascii="Times New Roman" w:hAnsi="Times New Roman"/>
        </w:rPr>
        <w:t>To calculate proceeds from an</w:t>
      </w:r>
      <w:r w:rsidRPr="002F5942">
        <w:rPr>
          <w:rFonts w:ascii="Times New Roman" w:hAnsi="Times New Roman"/>
        </w:rPr>
        <w:t xml:space="preserve"> unsecured debt</w:t>
      </w:r>
      <w:r>
        <w:rPr>
          <w:rFonts w:ascii="Times New Roman" w:hAnsi="Times New Roman"/>
        </w:rPr>
        <w:t xml:space="preserve"> issuance</w:t>
      </w:r>
      <w:r w:rsidRPr="002F5942">
        <w:rPr>
          <w:rFonts w:ascii="Times New Roman" w:hAnsi="Times New Roman"/>
        </w:rPr>
        <w:t>, we will need to consider</w:t>
      </w:r>
      <w:r>
        <w:rPr>
          <w:rFonts w:ascii="Times New Roman" w:hAnsi="Times New Roman"/>
        </w:rPr>
        <w:t xml:space="preserve"> </w:t>
      </w:r>
      <w:r w:rsidRPr="002F5942">
        <w:rPr>
          <w:rFonts w:ascii="Times New Roman" w:hAnsi="Times New Roman"/>
        </w:rPr>
        <w:t xml:space="preserve">whether bondholders are facing a </w:t>
      </w:r>
      <w:r w:rsidRPr="002F5942">
        <w:rPr>
          <w:rFonts w:ascii="Times New Roman" w:hAnsi="Times New Roman"/>
          <w:i/>
        </w:rPr>
        <w:t>G</w:t>
      </w:r>
      <w:r>
        <w:rPr>
          <w:rFonts w:ascii="Times New Roman" w:hAnsi="Times New Roman"/>
          <w:i/>
        </w:rPr>
        <w:t>-</w:t>
      </w:r>
      <w:r>
        <w:rPr>
          <w:rFonts w:ascii="Times New Roman" w:hAnsi="Times New Roman"/>
        </w:rPr>
        <w:t>quality</w:t>
      </w:r>
      <w:r w:rsidRPr="002F5942">
        <w:rPr>
          <w:rFonts w:ascii="Times New Roman" w:hAnsi="Times New Roman"/>
        </w:rPr>
        <w:t xml:space="preserve"> firm or a </w:t>
      </w:r>
      <w:r w:rsidRPr="002F5942">
        <w:rPr>
          <w:rFonts w:ascii="Times New Roman" w:hAnsi="Times New Roman"/>
          <w:i/>
        </w:rPr>
        <w:t>B</w:t>
      </w:r>
      <w:r>
        <w:rPr>
          <w:rFonts w:ascii="Times New Roman" w:hAnsi="Times New Roman"/>
          <w:i/>
        </w:rPr>
        <w:t>-</w:t>
      </w:r>
      <w:r>
        <w:rPr>
          <w:rFonts w:ascii="Times New Roman" w:hAnsi="Times New Roman"/>
        </w:rPr>
        <w:t>quality</w:t>
      </w:r>
      <w:r w:rsidRPr="002F5942">
        <w:rPr>
          <w:rFonts w:ascii="Times New Roman" w:hAnsi="Times New Roman"/>
        </w:rPr>
        <w:t xml:space="preserve"> firm. </w:t>
      </w:r>
      <w:r>
        <w:rPr>
          <w:rFonts w:ascii="Times New Roman" w:hAnsi="Times New Roman"/>
        </w:rPr>
        <w:t xml:space="preserve">Suppose first that </w:t>
      </w:r>
      <w:r w:rsidRPr="002F5942">
        <w:rPr>
          <w:rFonts w:ascii="Times New Roman" w:hAnsi="Times New Roman"/>
        </w:rPr>
        <w:t xml:space="preserve">creditors of project </w:t>
      </w:r>
      <w:r w:rsidRPr="002F5942">
        <w:rPr>
          <w:rFonts w:ascii="Times New Roman" w:hAnsi="Times New Roman"/>
          <w:i/>
          <w:iCs/>
        </w:rPr>
        <w:lastRenderedPageBreak/>
        <w:t>u</w:t>
      </w:r>
      <w:r w:rsidRPr="002F5942">
        <w:rPr>
          <w:rFonts w:ascii="Times New Roman" w:hAnsi="Times New Roman"/>
        </w:rPr>
        <w:t xml:space="preserve"> </w:t>
      </w:r>
      <w:r>
        <w:rPr>
          <w:rFonts w:ascii="Times New Roman" w:hAnsi="Times New Roman"/>
        </w:rPr>
        <w:t xml:space="preserve">unknowingly face a </w:t>
      </w:r>
      <w:r>
        <w:rPr>
          <w:rFonts w:ascii="Times New Roman" w:hAnsi="Times New Roman"/>
          <w:i/>
        </w:rPr>
        <w:t>B-</w:t>
      </w:r>
      <w:r>
        <w:rPr>
          <w:rFonts w:ascii="Times New Roman" w:hAnsi="Times New Roman"/>
        </w:rPr>
        <w:t>quality</w:t>
      </w:r>
      <w:r>
        <w:rPr>
          <w:rFonts w:ascii="Times New Roman" w:hAnsi="Times New Roman"/>
          <w:i/>
        </w:rPr>
        <w:t xml:space="preserve"> </w:t>
      </w:r>
      <w:r>
        <w:rPr>
          <w:rFonts w:ascii="Times New Roman" w:hAnsi="Times New Roman"/>
        </w:rPr>
        <w:t>firm with asset</w:t>
      </w:r>
      <w:r w:rsidRPr="002F5942">
        <w:rPr>
          <w:rFonts w:ascii="Times New Roman" w:hAnsi="Times New Roman"/>
        </w:rPr>
        <w:t xml:space="preserve"> quality</w:t>
      </w:r>
      <w:r>
        <w:rPr>
          <w:rFonts w:ascii="Times New Roman" w:hAnsi="Times New Roman"/>
        </w:rPr>
        <w:t xml:space="preserve"> </w:t>
      </w:r>
      <w:r w:rsidRPr="002F5942">
        <w:rPr>
          <w:rFonts w:ascii="Times New Roman" w:hAnsi="Times New Roman"/>
          <w:i/>
        </w:rPr>
        <w:t>w</w:t>
      </w:r>
      <w:r w:rsidRPr="002F5942">
        <w:rPr>
          <w:rFonts w:ascii="Times New Roman" w:hAnsi="Times New Roman"/>
          <w:i/>
          <w:vertAlign w:val="subscript"/>
        </w:rPr>
        <w:t>B</w:t>
      </w:r>
      <w:r w:rsidRPr="002F5942">
        <w:rPr>
          <w:rFonts w:ascii="Times New Roman" w:hAnsi="Times New Roman"/>
        </w:rPr>
        <w:t xml:space="preserve">. In this case default is only avoided if </w:t>
      </w:r>
      <w:r>
        <w:rPr>
          <w:rFonts w:ascii="Times New Roman" w:hAnsi="Times New Roman"/>
        </w:rPr>
        <w:t xml:space="preserve">both </w:t>
      </w:r>
      <w:r w:rsidRPr="002F5942">
        <w:rPr>
          <w:rFonts w:ascii="Times New Roman" w:hAnsi="Times New Roman"/>
        </w:rPr>
        <w:t xml:space="preserve">projects </w:t>
      </w:r>
      <w:r w:rsidRPr="002F5942">
        <w:rPr>
          <w:rFonts w:ascii="Times New Roman" w:hAnsi="Times New Roman"/>
          <w:i/>
          <w:iCs/>
        </w:rPr>
        <w:t>w</w:t>
      </w:r>
      <w:r w:rsidRPr="002F5942">
        <w:rPr>
          <w:rFonts w:ascii="Times New Roman" w:hAnsi="Times New Roman"/>
          <w:iCs/>
        </w:rPr>
        <w:t xml:space="preserve"> </w:t>
      </w:r>
      <w:r w:rsidRPr="002F5942">
        <w:rPr>
          <w:rFonts w:ascii="Times New Roman" w:hAnsi="Times New Roman"/>
        </w:rPr>
        <w:t xml:space="preserve">and </w:t>
      </w:r>
      <w:r w:rsidRPr="002F5942">
        <w:rPr>
          <w:rFonts w:ascii="Times New Roman" w:hAnsi="Times New Roman"/>
          <w:i/>
          <w:iCs/>
        </w:rPr>
        <w:t>u</w:t>
      </w:r>
      <w:r>
        <w:rPr>
          <w:rFonts w:ascii="Times New Roman" w:hAnsi="Times New Roman"/>
          <w:iCs/>
        </w:rPr>
        <w:t xml:space="preserve"> </w:t>
      </w:r>
      <w:r>
        <w:rPr>
          <w:rFonts w:ascii="Times New Roman" w:hAnsi="Times New Roman"/>
        </w:rPr>
        <w:t xml:space="preserve">have a high state outcome. Thus, if either </w:t>
      </w:r>
      <w:r w:rsidRPr="002F5942">
        <w:rPr>
          <w:rFonts w:ascii="Times New Roman" w:hAnsi="Times New Roman"/>
          <w:i/>
          <w:iCs/>
        </w:rPr>
        <w:t>w</w:t>
      </w:r>
      <w:r w:rsidRPr="002F5942">
        <w:rPr>
          <w:rFonts w:ascii="Times New Roman" w:hAnsi="Times New Roman"/>
          <w:iCs/>
        </w:rPr>
        <w:t xml:space="preserve"> </w:t>
      </w:r>
      <w:r w:rsidRPr="002F5942">
        <w:rPr>
          <w:rFonts w:ascii="Times New Roman" w:hAnsi="Times New Roman"/>
        </w:rPr>
        <w:t xml:space="preserve">or </w:t>
      </w:r>
      <w:r w:rsidRPr="002F5942">
        <w:rPr>
          <w:rFonts w:ascii="Times New Roman" w:hAnsi="Times New Roman"/>
          <w:i/>
          <w:iCs/>
        </w:rPr>
        <w:t>u</w:t>
      </w:r>
      <w:r w:rsidRPr="002F5942">
        <w:rPr>
          <w:rFonts w:ascii="Times New Roman" w:hAnsi="Times New Roman"/>
          <w:iCs/>
        </w:rPr>
        <w:t xml:space="preserve"> </w:t>
      </w:r>
      <w:r>
        <w:rPr>
          <w:rFonts w:ascii="Times New Roman" w:hAnsi="Times New Roman"/>
          <w:iCs/>
        </w:rPr>
        <w:t xml:space="preserve">experience </w:t>
      </w:r>
      <w:r w:rsidRPr="002F5942">
        <w:rPr>
          <w:rFonts w:ascii="Times New Roman" w:hAnsi="Times New Roman"/>
        </w:rPr>
        <w:t xml:space="preserve">a low </w:t>
      </w:r>
      <w:r>
        <w:rPr>
          <w:rFonts w:ascii="Times New Roman" w:hAnsi="Times New Roman"/>
        </w:rPr>
        <w:t xml:space="preserve">state </w:t>
      </w:r>
      <w:r w:rsidRPr="002F5942">
        <w:rPr>
          <w:rFonts w:ascii="Times New Roman" w:hAnsi="Times New Roman"/>
        </w:rPr>
        <w:t xml:space="preserve">outcome, there </w:t>
      </w:r>
      <w:r>
        <w:rPr>
          <w:rFonts w:ascii="Times New Roman" w:hAnsi="Times New Roman"/>
        </w:rPr>
        <w:t>will</w:t>
      </w:r>
      <w:r w:rsidRPr="002F5942">
        <w:rPr>
          <w:rFonts w:ascii="Times New Roman" w:hAnsi="Times New Roman"/>
        </w:rPr>
        <w:t xml:space="preserve"> not </w:t>
      </w:r>
      <w:r>
        <w:rPr>
          <w:rFonts w:ascii="Times New Roman" w:hAnsi="Times New Roman"/>
        </w:rPr>
        <w:t xml:space="preserve">be </w:t>
      </w:r>
      <w:r w:rsidRPr="002F5942">
        <w:rPr>
          <w:rFonts w:ascii="Times New Roman" w:hAnsi="Times New Roman"/>
        </w:rPr>
        <w:t>enough proceeds to repay the old and new creditors in full</w:t>
      </w:r>
      <w:r>
        <w:rPr>
          <w:rFonts w:ascii="Times New Roman" w:hAnsi="Times New Roman"/>
        </w:rPr>
        <w:t>. As a result of default</w:t>
      </w:r>
      <w:r w:rsidRPr="002F5942">
        <w:rPr>
          <w:rFonts w:ascii="Times New Roman" w:hAnsi="Times New Roman"/>
        </w:rPr>
        <w:t xml:space="preserve">, </w:t>
      </w:r>
      <w:r>
        <w:rPr>
          <w:rFonts w:ascii="Times New Roman" w:hAnsi="Times New Roman"/>
        </w:rPr>
        <w:t>c</w:t>
      </w:r>
      <w:r w:rsidRPr="002F5942">
        <w:rPr>
          <w:rFonts w:ascii="Times New Roman" w:hAnsi="Times New Roman"/>
        </w:rPr>
        <w:t>reditors will receive their fair share of the default value</w:t>
      </w:r>
      <w:r>
        <w:rPr>
          <w:rFonts w:ascii="Times New Roman" w:hAnsi="Times New Roman"/>
        </w:rPr>
        <w:t xml:space="preserve"> of the firm across the two projects, where the fair share allocated to </w:t>
      </w:r>
      <w:r>
        <w:rPr>
          <w:rFonts w:ascii="Times New Roman" w:hAnsi="Times New Roman"/>
          <w:i/>
        </w:rPr>
        <w:t xml:space="preserve">u </w:t>
      </w:r>
      <w:r>
        <w:rPr>
          <w:rFonts w:ascii="Times New Roman" w:hAnsi="Times New Roman"/>
        </w:rPr>
        <w:t xml:space="preserve">creditors follows a </w:t>
      </w:r>
      <w:r>
        <w:rPr>
          <w:rFonts w:ascii="Times New Roman" w:hAnsi="Times New Roman"/>
          <w:i/>
        </w:rPr>
        <w:t>pro rata</w:t>
      </w:r>
      <w:r>
        <w:rPr>
          <w:rFonts w:ascii="Times New Roman" w:hAnsi="Times New Roman"/>
        </w:rPr>
        <w:t xml:space="preserve"> distribution rule of </w:t>
      </w:r>
      <w:r>
        <w:rPr>
          <w:rFonts w:ascii="Times New Roman" w:hAnsi="Times New Roman"/>
          <w:i/>
        </w:rPr>
        <w:sym w:font="Symbol" w:char="F061"/>
      </w:r>
      <w:r>
        <w:rPr>
          <w:rFonts w:ascii="Times New Roman" w:hAnsi="Times New Roman"/>
          <w:i/>
          <w:vertAlign w:val="subscript"/>
        </w:rPr>
        <w:t>u</w:t>
      </w:r>
      <w:r>
        <w:rPr>
          <w:rFonts w:ascii="Times New Roman" w:hAnsi="Times New Roman"/>
          <w:i/>
        </w:rPr>
        <w:t>=D</w:t>
      </w:r>
      <w:r>
        <w:rPr>
          <w:rFonts w:ascii="Times New Roman" w:hAnsi="Times New Roman"/>
          <w:i/>
          <w:vertAlign w:val="subscript"/>
        </w:rPr>
        <w:t>u</w:t>
      </w:r>
      <w:r>
        <w:rPr>
          <w:rFonts w:ascii="Times New Roman" w:hAnsi="Times New Roman"/>
          <w:i/>
        </w:rPr>
        <w:t>/(D</w:t>
      </w:r>
      <w:r>
        <w:rPr>
          <w:rFonts w:ascii="Times New Roman" w:hAnsi="Times New Roman"/>
          <w:i/>
          <w:vertAlign w:val="subscript"/>
        </w:rPr>
        <w:t>u</w:t>
      </w:r>
      <w:r>
        <w:rPr>
          <w:rFonts w:ascii="Times New Roman" w:hAnsi="Times New Roman"/>
          <w:i/>
        </w:rPr>
        <w:t>+D</w:t>
      </w:r>
      <w:r>
        <w:rPr>
          <w:rFonts w:ascii="Times New Roman" w:hAnsi="Times New Roman"/>
          <w:i/>
          <w:vertAlign w:val="subscript"/>
        </w:rPr>
        <w:t>w</w:t>
      </w:r>
      <w:r>
        <w:rPr>
          <w:rFonts w:ascii="Times New Roman" w:hAnsi="Times New Roman"/>
          <w:i/>
        </w:rPr>
        <w:t>).</w:t>
      </w:r>
      <w:r>
        <w:rPr>
          <w:rFonts w:ascii="Times New Roman" w:hAnsi="Times New Roman"/>
        </w:rPr>
        <w:t xml:space="preserve"> In order to simplify and maintain symmetry in the analysis, we will assume that </w:t>
      </w:r>
      <w:r>
        <w:rPr>
          <w:rFonts w:ascii="Times New Roman" w:hAnsi="Times New Roman"/>
          <w:i/>
        </w:rPr>
        <w:t>D</w:t>
      </w:r>
      <w:r>
        <w:rPr>
          <w:rFonts w:ascii="Times New Roman" w:hAnsi="Times New Roman"/>
          <w:i/>
          <w:vertAlign w:val="subscript"/>
        </w:rPr>
        <w:t>u</w:t>
      </w:r>
      <w:r>
        <w:rPr>
          <w:rFonts w:ascii="Times New Roman" w:hAnsi="Times New Roman"/>
          <w:i/>
        </w:rPr>
        <w:t>=D</w:t>
      </w:r>
      <w:r>
        <w:rPr>
          <w:rFonts w:ascii="Times New Roman" w:hAnsi="Times New Roman"/>
          <w:i/>
          <w:vertAlign w:val="subscript"/>
        </w:rPr>
        <w:t>w</w:t>
      </w:r>
      <w:r>
        <w:rPr>
          <w:rFonts w:ascii="Times New Roman" w:hAnsi="Times New Roman"/>
        </w:rPr>
        <w:t xml:space="preserve">, implying that </w:t>
      </w:r>
      <w:r>
        <w:rPr>
          <w:rFonts w:ascii="Times New Roman" w:hAnsi="Times New Roman"/>
          <w:i/>
        </w:rPr>
        <w:sym w:font="Symbol" w:char="F061"/>
      </w:r>
      <w:r>
        <w:rPr>
          <w:rFonts w:ascii="Times New Roman" w:hAnsi="Times New Roman"/>
          <w:i/>
          <w:vertAlign w:val="subscript"/>
        </w:rPr>
        <w:t>u</w:t>
      </w:r>
      <w:r>
        <w:rPr>
          <w:rFonts w:ascii="Times New Roman" w:hAnsi="Times New Roman"/>
          <w:i/>
        </w:rPr>
        <w:t>=</w:t>
      </w:r>
      <w:r>
        <w:rPr>
          <w:rFonts w:ascii="Times New Roman" w:hAnsi="Times New Roman"/>
        </w:rPr>
        <w:t xml:space="preserve">1/2. Results can begeneralized to an arbitrary </w:t>
      </w:r>
      <w:r>
        <w:rPr>
          <w:rFonts w:ascii="Times New Roman" w:hAnsi="Times New Roman"/>
          <w:i/>
        </w:rPr>
        <w:t>D</w:t>
      </w:r>
      <w:r>
        <w:rPr>
          <w:rFonts w:ascii="Times New Roman" w:hAnsi="Times New Roman"/>
          <w:i/>
          <w:vertAlign w:val="subscript"/>
        </w:rPr>
        <w:t>u</w:t>
      </w:r>
      <w:r>
        <w:rPr>
          <w:rFonts w:ascii="Times New Roman" w:hAnsi="Times New Roman"/>
          <w:i/>
        </w:rPr>
        <w:t xml:space="preserve"> </w:t>
      </w:r>
      <w:r>
        <w:rPr>
          <w:rFonts w:ascii="Times New Roman" w:hAnsi="Times New Roman"/>
        </w:rPr>
        <w:t xml:space="preserve">and </w:t>
      </w:r>
      <w:r>
        <w:rPr>
          <w:rFonts w:ascii="Times New Roman" w:hAnsi="Times New Roman"/>
          <w:i/>
        </w:rPr>
        <w:t>D</w:t>
      </w:r>
      <w:r>
        <w:rPr>
          <w:rFonts w:ascii="Times New Roman" w:hAnsi="Times New Roman"/>
          <w:i/>
          <w:vertAlign w:val="subscript"/>
        </w:rPr>
        <w:t>w</w:t>
      </w:r>
      <w:r>
        <w:rPr>
          <w:rFonts w:ascii="Times New Roman" w:hAnsi="Times New Roman"/>
          <w:i/>
        </w:rPr>
        <w:t>.</w:t>
      </w:r>
    </w:p>
    <w:p w:rsidR="00FF5A6E" w:rsidRPr="00A72CA1" w:rsidRDefault="00FF5A6E" w:rsidP="00D060DD">
      <w:pPr>
        <w:pStyle w:val="Default"/>
        <w:spacing w:line="480" w:lineRule="auto"/>
        <w:ind w:firstLine="720"/>
        <w:jc w:val="both"/>
        <w:rPr>
          <w:rFonts w:ascii="Times New Roman" w:hAnsi="Times New Roman"/>
        </w:rPr>
      </w:pPr>
      <w:r>
        <w:rPr>
          <w:rFonts w:ascii="Times New Roman" w:hAnsi="Times New Roman"/>
        </w:rPr>
        <w:t xml:space="preserve">Alternatively, suppose now that creditors of project </w:t>
      </w:r>
      <w:r>
        <w:rPr>
          <w:rFonts w:ascii="Times New Roman" w:hAnsi="Times New Roman"/>
          <w:i/>
        </w:rPr>
        <w:t xml:space="preserve">u </w:t>
      </w:r>
      <w:r>
        <w:rPr>
          <w:rFonts w:ascii="Times New Roman" w:hAnsi="Times New Roman"/>
        </w:rPr>
        <w:t xml:space="preserve">unknowingly face a </w:t>
      </w:r>
      <w:r>
        <w:rPr>
          <w:rFonts w:ascii="Times New Roman" w:hAnsi="Times New Roman"/>
          <w:i/>
        </w:rPr>
        <w:t>G-</w:t>
      </w:r>
      <w:r>
        <w:rPr>
          <w:rFonts w:ascii="Times New Roman" w:hAnsi="Times New Roman"/>
        </w:rPr>
        <w:t>quality</w:t>
      </w:r>
      <w:r>
        <w:rPr>
          <w:rFonts w:ascii="Times New Roman" w:hAnsi="Times New Roman"/>
          <w:i/>
        </w:rPr>
        <w:t xml:space="preserve"> </w:t>
      </w:r>
      <w:r>
        <w:rPr>
          <w:rFonts w:ascii="Times New Roman" w:hAnsi="Times New Roman"/>
        </w:rPr>
        <w:t xml:space="preserve">firm with asset quality </w:t>
      </w:r>
      <w:r>
        <w:rPr>
          <w:rFonts w:ascii="Times New Roman" w:hAnsi="Times New Roman"/>
          <w:i/>
        </w:rPr>
        <w:t>w</w:t>
      </w:r>
      <w:r>
        <w:rPr>
          <w:rFonts w:ascii="Times New Roman" w:hAnsi="Times New Roman"/>
          <w:i/>
          <w:vertAlign w:val="subscript"/>
        </w:rPr>
        <w:t>G</w:t>
      </w:r>
      <w:r>
        <w:rPr>
          <w:rFonts w:ascii="Times New Roman" w:hAnsi="Times New Roman"/>
          <w:i/>
        </w:rPr>
        <w:t xml:space="preserve">. </w:t>
      </w:r>
      <w:r>
        <w:rPr>
          <w:rFonts w:ascii="Times New Roman" w:hAnsi="Times New Roman"/>
        </w:rPr>
        <w:t xml:space="preserve">In this case default occurs only when </w:t>
      </w:r>
      <w:proofErr w:type="spellStart"/>
      <w:r>
        <w:rPr>
          <w:rFonts w:ascii="Times New Roman" w:hAnsi="Times New Roman"/>
          <w:i/>
        </w:rPr>
        <w:t>u</w:t>
      </w:r>
      <w:r>
        <w:rPr>
          <w:rFonts w:ascii="Times New Roman" w:hAnsi="Times New Roman"/>
          <w:i/>
          <w:vertAlign w:val="superscript"/>
        </w:rPr>
        <w:t>L</w:t>
      </w:r>
      <w:proofErr w:type="spellEnd"/>
      <w:r>
        <w:rPr>
          <w:rFonts w:ascii="Times New Roman" w:hAnsi="Times New Roman"/>
        </w:rPr>
        <w:t xml:space="preserve"> and</w:t>
      </w:r>
      <w:r w:rsidRPr="0040092E">
        <w:rPr>
          <w:position w:val="-12"/>
        </w:rPr>
        <w:object w:dxaOrig="340" w:dyaOrig="380">
          <v:shape id="_x0000_i1035" type="#_x0000_t75" style="width:17.2pt;height:18.8pt" o:ole="">
            <v:imagedata r:id="rId32" o:title=""/>
          </v:shape>
          <o:OLEObject Type="Embed" ProgID="Equation.3" ShapeID="_x0000_i1035" DrawAspect="Content" ObjectID="_1331623398" r:id="rId33"/>
        </w:object>
      </w:r>
      <w:r>
        <w:t xml:space="preserve"> </w:t>
      </w:r>
      <w:r>
        <w:rPr>
          <w:rFonts w:ascii="Times New Roman" w:hAnsi="Times New Roman"/>
        </w:rPr>
        <w:t xml:space="preserve">are jointly realized, implying that there are sufficient proceeds from </w:t>
      </w:r>
      <w:proofErr w:type="spellStart"/>
      <w:r>
        <w:rPr>
          <w:rFonts w:ascii="Times New Roman" w:hAnsi="Times New Roman"/>
          <w:i/>
        </w:rPr>
        <w:t>u</w:t>
      </w:r>
      <w:r>
        <w:rPr>
          <w:rFonts w:ascii="Times New Roman" w:hAnsi="Times New Roman"/>
          <w:i/>
          <w:vertAlign w:val="superscript"/>
        </w:rPr>
        <w:t>L</w:t>
      </w:r>
      <w:proofErr w:type="spellEnd"/>
      <w:r>
        <w:rPr>
          <w:rFonts w:ascii="Times New Roman" w:hAnsi="Times New Roman"/>
          <w:i/>
        </w:rPr>
        <w:t>+</w:t>
      </w:r>
      <w:r w:rsidRPr="0040092E">
        <w:rPr>
          <w:position w:val="-12"/>
        </w:rPr>
        <w:object w:dxaOrig="380" w:dyaOrig="380">
          <v:shape id="_x0000_i1036" type="#_x0000_t75" style="width:18.8pt;height:18.8pt" o:ole="">
            <v:imagedata r:id="rId34" o:title=""/>
          </v:shape>
          <o:OLEObject Type="Embed" ProgID="Equation.3" ShapeID="_x0000_i1036" DrawAspect="Content" ObjectID="_1331623399" r:id="rId35"/>
        </w:object>
      </w:r>
      <w:r>
        <w:t xml:space="preserve"> </w:t>
      </w:r>
      <w:r>
        <w:rPr>
          <w:rFonts w:ascii="Times New Roman" w:hAnsi="Times New Roman"/>
        </w:rPr>
        <w:t xml:space="preserve">as well as </w:t>
      </w:r>
      <w:proofErr w:type="spellStart"/>
      <w:r>
        <w:rPr>
          <w:rFonts w:ascii="Times New Roman" w:hAnsi="Times New Roman"/>
          <w:i/>
        </w:rPr>
        <w:t>u</w:t>
      </w:r>
      <w:r>
        <w:rPr>
          <w:rFonts w:ascii="Times New Roman" w:hAnsi="Times New Roman"/>
          <w:i/>
          <w:vertAlign w:val="superscript"/>
        </w:rPr>
        <w:t>H</w:t>
      </w:r>
      <w:proofErr w:type="spellEnd"/>
      <w:r>
        <w:rPr>
          <w:rFonts w:ascii="Times New Roman" w:hAnsi="Times New Roman"/>
          <w:i/>
        </w:rPr>
        <w:t>+</w:t>
      </w:r>
      <w:r w:rsidRPr="0040092E">
        <w:rPr>
          <w:position w:val="-12"/>
        </w:rPr>
        <w:object w:dxaOrig="340" w:dyaOrig="380">
          <v:shape id="_x0000_i1037" type="#_x0000_t75" style="width:17.2pt;height:18.8pt" o:ole="">
            <v:imagedata r:id="rId36" o:title=""/>
          </v:shape>
          <o:OLEObject Type="Embed" ProgID="Equation.3" ShapeID="_x0000_i1037" DrawAspect="Content" ObjectID="_1331623400" r:id="rId37"/>
        </w:object>
      </w:r>
      <w:r>
        <w:t xml:space="preserve"> </w:t>
      </w:r>
      <w:r>
        <w:rPr>
          <w:rFonts w:ascii="Times New Roman" w:hAnsi="Times New Roman"/>
        </w:rPr>
        <w:t xml:space="preserve">to fund the joint promised debt payoffs of </w:t>
      </w:r>
      <w:r>
        <w:rPr>
          <w:rFonts w:ascii="Times New Roman" w:hAnsi="Times New Roman"/>
          <w:i/>
        </w:rPr>
        <w:t>D</w:t>
      </w:r>
      <w:r>
        <w:rPr>
          <w:rFonts w:ascii="Times New Roman" w:hAnsi="Times New Roman"/>
          <w:i/>
          <w:vertAlign w:val="subscript"/>
        </w:rPr>
        <w:t>u</w:t>
      </w:r>
      <w:r>
        <w:rPr>
          <w:rFonts w:ascii="Times New Roman" w:hAnsi="Times New Roman"/>
          <w:i/>
        </w:rPr>
        <w:t>+D</w:t>
      </w:r>
      <w:r>
        <w:rPr>
          <w:rFonts w:ascii="Times New Roman" w:hAnsi="Times New Roman"/>
          <w:i/>
          <w:vertAlign w:val="subscript"/>
        </w:rPr>
        <w:t>w</w:t>
      </w:r>
      <w:r>
        <w:rPr>
          <w:rFonts w:ascii="Times New Roman" w:hAnsi="Times New Roman"/>
          <w:i/>
        </w:rPr>
        <w:t xml:space="preserve">. </w:t>
      </w:r>
      <w:r>
        <w:rPr>
          <w:rFonts w:ascii="Times New Roman" w:hAnsi="Times New Roman"/>
        </w:rPr>
        <w:t xml:space="preserve">Thus, from a financing perspective, the fundamental distinction between the </w:t>
      </w:r>
      <w:r>
        <w:rPr>
          <w:rFonts w:ascii="Times New Roman" w:hAnsi="Times New Roman"/>
          <w:i/>
        </w:rPr>
        <w:t>G-</w:t>
      </w:r>
      <w:r>
        <w:rPr>
          <w:rFonts w:ascii="Times New Roman" w:hAnsi="Times New Roman"/>
        </w:rPr>
        <w:t xml:space="preserve">quality firm and the </w:t>
      </w:r>
      <w:r>
        <w:rPr>
          <w:rFonts w:ascii="Times New Roman" w:hAnsi="Times New Roman"/>
          <w:i/>
        </w:rPr>
        <w:t>B-</w:t>
      </w:r>
      <w:r>
        <w:rPr>
          <w:rFonts w:ascii="Times New Roman" w:hAnsi="Times New Roman"/>
        </w:rPr>
        <w:t xml:space="preserve">quality firm is default risk associated with unsecured debt issuance, in which the </w:t>
      </w:r>
      <w:r>
        <w:rPr>
          <w:rFonts w:ascii="Times New Roman" w:hAnsi="Times New Roman"/>
          <w:i/>
        </w:rPr>
        <w:t>B-</w:t>
      </w:r>
      <w:r>
        <w:rPr>
          <w:rFonts w:ascii="Times New Roman" w:hAnsi="Times New Roman"/>
        </w:rPr>
        <w:t xml:space="preserve">quality firm is a greater credit risk than the </w:t>
      </w:r>
      <w:r>
        <w:rPr>
          <w:rFonts w:ascii="Times New Roman" w:hAnsi="Times New Roman"/>
          <w:i/>
        </w:rPr>
        <w:t>G-</w:t>
      </w:r>
      <w:r>
        <w:rPr>
          <w:rFonts w:ascii="Times New Roman" w:hAnsi="Times New Roman"/>
        </w:rPr>
        <w:t>quality firm. This credit risk manifests itself in the probability of default as well as in the severity of loss associated with default.</w:t>
      </w:r>
    </w:p>
    <w:p w:rsidR="00FF5A6E" w:rsidRDefault="00FF5A6E" w:rsidP="00D060DD">
      <w:pPr>
        <w:pStyle w:val="Default"/>
        <w:spacing w:line="480" w:lineRule="auto"/>
        <w:ind w:firstLine="720"/>
        <w:jc w:val="both"/>
        <w:rPr>
          <w:rFonts w:ascii="Times New Roman" w:hAnsi="Times New Roman"/>
          <w:i/>
        </w:rPr>
      </w:pPr>
      <w:r>
        <w:rPr>
          <w:rFonts w:ascii="Times New Roman" w:hAnsi="Times New Roman"/>
        </w:rPr>
        <w:t xml:space="preserve">Payoffs to </w:t>
      </w:r>
      <w:r>
        <w:rPr>
          <w:rFonts w:ascii="Times New Roman" w:hAnsi="Times New Roman"/>
          <w:i/>
        </w:rPr>
        <w:t xml:space="preserve">u </w:t>
      </w:r>
      <w:r>
        <w:rPr>
          <w:rFonts w:ascii="Times New Roman" w:hAnsi="Times New Roman"/>
        </w:rPr>
        <w:t xml:space="preserve">creditors conditional on an unsecured debt issuance can now be stated, and are summarized in Table 4. </w:t>
      </w:r>
    </w:p>
    <w:p w:rsidR="00FF5A6E" w:rsidRDefault="00FF5A6E" w:rsidP="004C0463">
      <w:pPr>
        <w:pStyle w:val="Default"/>
        <w:spacing w:line="480" w:lineRule="auto"/>
        <w:rPr>
          <w:rFonts w:ascii="Times New Roman" w:hAnsi="Times New Roman"/>
        </w:rPr>
      </w:pPr>
    </w:p>
    <w:p w:rsidR="00FF5A6E" w:rsidRDefault="00FF5A6E" w:rsidP="000B4461">
      <w:pPr>
        <w:pStyle w:val="Default"/>
        <w:jc w:val="center"/>
        <w:rPr>
          <w:rFonts w:ascii="Times New Roman" w:hAnsi="Times New Roman"/>
          <w:b/>
        </w:rPr>
      </w:pPr>
      <w:r>
        <w:rPr>
          <w:rFonts w:ascii="Times New Roman" w:hAnsi="Times New Roman"/>
          <w:b/>
        </w:rPr>
        <w:t>Table 4</w:t>
      </w:r>
    </w:p>
    <w:p w:rsidR="00FF5A6E" w:rsidRDefault="00FF5A6E" w:rsidP="000B4461">
      <w:pPr>
        <w:pStyle w:val="Default"/>
        <w:jc w:val="center"/>
        <w:rPr>
          <w:rFonts w:ascii="Times New Roman" w:hAnsi="Times New Roman"/>
          <w:b/>
        </w:rPr>
      </w:pPr>
    </w:p>
    <w:p w:rsidR="00FF5A6E" w:rsidRPr="000B4461" w:rsidRDefault="00FF5A6E" w:rsidP="000B4461">
      <w:pPr>
        <w:pStyle w:val="Default"/>
        <w:jc w:val="center"/>
        <w:rPr>
          <w:rFonts w:ascii="Times New Roman" w:hAnsi="Times New Roman"/>
          <w:b/>
        </w:rPr>
      </w:pPr>
      <w:r>
        <w:rPr>
          <w:rFonts w:ascii="Times New Roman" w:hAnsi="Times New Roman"/>
          <w:b/>
        </w:rPr>
        <w:t xml:space="preserve">Payoffs to Project </w:t>
      </w:r>
      <w:r>
        <w:rPr>
          <w:rFonts w:ascii="Times New Roman" w:hAnsi="Times New Roman"/>
          <w:b/>
          <w:i/>
        </w:rPr>
        <w:t xml:space="preserve">u </w:t>
      </w:r>
      <w:r>
        <w:rPr>
          <w:rFonts w:ascii="Times New Roman" w:hAnsi="Times New Roman"/>
          <w:b/>
        </w:rPr>
        <w:t>Unsecured Creditors as a Function of State Outcome and Firm Type</w:t>
      </w:r>
    </w:p>
    <w:p w:rsidR="00FF5A6E" w:rsidRDefault="00FF5A6E" w:rsidP="002F5942">
      <w:pPr>
        <w:pStyle w:val="Default"/>
        <w:rPr>
          <w:rFonts w:ascii="Times New Roman" w:hAnsi="Times New Roman"/>
        </w:rPr>
      </w:pPr>
    </w:p>
    <w:p w:rsidR="00FF5A6E" w:rsidRDefault="00FF5A6E" w:rsidP="002F5942">
      <w:pPr>
        <w:pStyle w:val="Defaul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State Outcome Combination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5"/>
        <w:gridCol w:w="1915"/>
        <w:gridCol w:w="1916"/>
      </w:tblGrid>
      <w:tr w:rsidR="00FF5A6E">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Firm Type</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i/>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H</w:t>
            </w:r>
            <w:proofErr w:type="spellEnd"/>
            <w:r w:rsidRPr="000E591B">
              <w:rPr>
                <w:rFonts w:ascii="Times New Roman" w:hAnsi="Times New Roman"/>
                <w:i/>
              </w:rPr>
              <w:t>,</w:t>
            </w:r>
            <w:r>
              <w:t xml:space="preserve"> </w:t>
            </w:r>
            <w:r w:rsidRPr="000E591B">
              <w:rPr>
                <w:position w:val="-14"/>
              </w:rPr>
              <w:object w:dxaOrig="380" w:dyaOrig="400">
                <v:shape id="_x0000_i1038" type="#_x0000_t75" style="width:18.8pt;height:19.9pt" o:ole="">
                  <v:imagedata r:id="rId38" o:title=""/>
                </v:shape>
                <o:OLEObject Type="Embed" ProgID="Equation.3" ShapeID="_x0000_i1038" DrawAspect="Content" ObjectID="_1331623401" r:id="rId39"/>
              </w:object>
            </w:r>
            <w:r>
              <w:t>)</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H</w:t>
            </w:r>
            <w:proofErr w:type="spellEnd"/>
            <w:r w:rsidRPr="000E591B">
              <w:rPr>
                <w:rFonts w:ascii="Times New Roman" w:hAnsi="Times New Roman"/>
                <w:i/>
              </w:rPr>
              <w:t>,</w:t>
            </w:r>
            <w:r>
              <w:t xml:space="preserve"> </w:t>
            </w:r>
            <w:r w:rsidRPr="000E591B">
              <w:rPr>
                <w:position w:val="-14"/>
              </w:rPr>
              <w:object w:dxaOrig="340" w:dyaOrig="400">
                <v:shape id="_x0000_i1039" type="#_x0000_t75" style="width:17.2pt;height:19.9pt" o:ole="">
                  <v:imagedata r:id="rId40" o:title=""/>
                </v:shape>
                <o:OLEObject Type="Embed" ProgID="Equation.3" ShapeID="_x0000_i1039" DrawAspect="Content" ObjectID="_1331623402" r:id="rId41"/>
              </w:object>
            </w:r>
            <w:r>
              <w:t>)</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L</w:t>
            </w:r>
            <w:proofErr w:type="spellEnd"/>
            <w:r w:rsidRPr="000E591B">
              <w:rPr>
                <w:rFonts w:ascii="Times New Roman" w:hAnsi="Times New Roman"/>
                <w:i/>
              </w:rPr>
              <w:t>,</w:t>
            </w:r>
            <w:r>
              <w:t xml:space="preserve"> </w:t>
            </w:r>
            <w:r w:rsidRPr="000E591B">
              <w:rPr>
                <w:position w:val="-14"/>
              </w:rPr>
              <w:object w:dxaOrig="380" w:dyaOrig="400">
                <v:shape id="_x0000_i1040" type="#_x0000_t75" style="width:18.8pt;height:19.9pt" o:ole="">
                  <v:imagedata r:id="rId42" o:title=""/>
                </v:shape>
                <o:OLEObject Type="Embed" ProgID="Equation.3" ShapeID="_x0000_i1040" DrawAspect="Content" ObjectID="_1331623403" r:id="rId43"/>
              </w:object>
            </w:r>
            <w:r>
              <w:t>)</w:t>
            </w:r>
          </w:p>
        </w:tc>
        <w:tc>
          <w:tcPr>
            <w:tcW w:w="1916"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L</w:t>
            </w:r>
            <w:proofErr w:type="spellEnd"/>
            <w:r w:rsidRPr="000E591B">
              <w:rPr>
                <w:rFonts w:ascii="Times New Roman" w:hAnsi="Times New Roman"/>
                <w:i/>
              </w:rPr>
              <w:t>,</w:t>
            </w:r>
            <w:r>
              <w:t xml:space="preserve"> </w:t>
            </w:r>
            <w:r w:rsidRPr="000E591B">
              <w:rPr>
                <w:position w:val="-14"/>
              </w:rPr>
              <w:object w:dxaOrig="340" w:dyaOrig="400">
                <v:shape id="_x0000_i1041" type="#_x0000_t75" style="width:17.2pt;height:19.9pt" o:ole="">
                  <v:imagedata r:id="rId44" o:title=""/>
                </v:shape>
                <o:OLEObject Type="Embed" ProgID="Equation.3" ShapeID="_x0000_i1041" DrawAspect="Content" ObjectID="_1331623404" r:id="rId45"/>
              </w:object>
            </w:r>
            <w:r>
              <w:t>)</w:t>
            </w:r>
          </w:p>
        </w:tc>
      </w:tr>
      <w:tr w:rsidR="00FF5A6E">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i/>
              </w:rPr>
            </w:pPr>
            <w:r w:rsidRPr="000E591B">
              <w:rPr>
                <w:rFonts w:ascii="Times New Roman" w:hAnsi="Times New Roman"/>
                <w:i/>
              </w:rPr>
              <w:t>j=B</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i/>
                <w:vertAlign w:val="subscript"/>
              </w:rPr>
            </w:pPr>
            <w:r w:rsidRPr="000E591B">
              <w:rPr>
                <w:rFonts w:ascii="Times New Roman" w:hAnsi="Times New Roman"/>
                <w:i/>
              </w:rPr>
              <w:t>D</w:t>
            </w:r>
            <w:r w:rsidRPr="000E591B">
              <w:rPr>
                <w:rFonts w:ascii="Times New Roman" w:hAnsi="Times New Roman"/>
                <w:i/>
                <w:vertAlign w:val="subscript"/>
              </w:rPr>
              <w:t>u</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H</w:t>
            </w:r>
            <w:proofErr w:type="spellEnd"/>
            <w:r w:rsidRPr="000E591B">
              <w:rPr>
                <w:rFonts w:ascii="Times New Roman" w:hAnsi="Times New Roman"/>
                <w:i/>
              </w:rPr>
              <w:t>+</w:t>
            </w:r>
            <w:r w:rsidRPr="000E591B">
              <w:rPr>
                <w:position w:val="-10"/>
              </w:rPr>
              <w:object w:dxaOrig="340" w:dyaOrig="360">
                <v:shape id="_x0000_i1042" type="#_x0000_t75" style="width:17.2pt;height:18.25pt" o:ole="">
                  <v:imagedata r:id="rId46" o:title=""/>
                </v:shape>
                <o:OLEObject Type="Embed" ProgID="Equation.3" ShapeID="_x0000_i1042" DrawAspect="Content" ObjectID="_1331623405" r:id="rId47"/>
              </w:object>
            </w:r>
            <w:r>
              <w:t>)</w:t>
            </w:r>
            <w:r w:rsidRPr="000E591B">
              <w:rPr>
                <w:i/>
              </w:rPr>
              <w:sym w:font="Symbol" w:char="F061"/>
            </w:r>
            <w:r w:rsidRPr="000E591B">
              <w:rPr>
                <w:rFonts w:ascii="Times New Roman" w:hAnsi="Times New Roman"/>
                <w:i/>
                <w:vertAlign w:val="subscript"/>
              </w:rPr>
              <w:t>u</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L</w:t>
            </w:r>
            <w:proofErr w:type="spellEnd"/>
            <w:r w:rsidRPr="000E591B">
              <w:rPr>
                <w:rFonts w:ascii="Times New Roman" w:hAnsi="Times New Roman"/>
                <w:i/>
              </w:rPr>
              <w:t>+</w:t>
            </w:r>
            <w:r w:rsidRPr="000E591B">
              <w:rPr>
                <w:position w:val="-10"/>
              </w:rPr>
              <w:object w:dxaOrig="380" w:dyaOrig="360">
                <v:shape id="_x0000_i1043" type="#_x0000_t75" style="width:18.8pt;height:18.25pt" o:ole="">
                  <v:imagedata r:id="rId48" o:title=""/>
                </v:shape>
                <o:OLEObject Type="Embed" ProgID="Equation.3" ShapeID="_x0000_i1043" DrawAspect="Content" ObjectID="_1331623406" r:id="rId49"/>
              </w:object>
            </w:r>
            <w:r>
              <w:t>)</w:t>
            </w:r>
            <w:r w:rsidRPr="000E591B">
              <w:rPr>
                <w:i/>
              </w:rPr>
              <w:sym w:font="Symbol" w:char="F061"/>
            </w:r>
            <w:r w:rsidRPr="000E591B">
              <w:rPr>
                <w:rFonts w:ascii="Times New Roman" w:hAnsi="Times New Roman"/>
                <w:i/>
                <w:vertAlign w:val="subscript"/>
              </w:rPr>
              <w:t>u</w:t>
            </w:r>
          </w:p>
        </w:tc>
        <w:tc>
          <w:tcPr>
            <w:tcW w:w="1916"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L</w:t>
            </w:r>
            <w:proofErr w:type="spellEnd"/>
            <w:r w:rsidRPr="000E591B">
              <w:rPr>
                <w:rFonts w:ascii="Times New Roman" w:hAnsi="Times New Roman"/>
                <w:i/>
              </w:rPr>
              <w:t>+</w:t>
            </w:r>
            <w:r w:rsidRPr="000E591B">
              <w:rPr>
                <w:position w:val="-10"/>
              </w:rPr>
              <w:object w:dxaOrig="340" w:dyaOrig="360">
                <v:shape id="_x0000_i1044" type="#_x0000_t75" style="width:17.2pt;height:18.25pt" o:ole="">
                  <v:imagedata r:id="rId50" o:title=""/>
                </v:shape>
                <o:OLEObject Type="Embed" ProgID="Equation.3" ShapeID="_x0000_i1044" DrawAspect="Content" ObjectID="_1331623407" r:id="rId51"/>
              </w:object>
            </w:r>
            <w:r>
              <w:t>)</w:t>
            </w:r>
            <w:r w:rsidRPr="000E591B">
              <w:rPr>
                <w:i/>
              </w:rPr>
              <w:sym w:font="Symbol" w:char="F061"/>
            </w:r>
            <w:r w:rsidRPr="000E591B">
              <w:rPr>
                <w:rFonts w:ascii="Times New Roman" w:hAnsi="Times New Roman"/>
                <w:i/>
                <w:vertAlign w:val="subscript"/>
              </w:rPr>
              <w:t>u</w:t>
            </w:r>
          </w:p>
        </w:tc>
      </w:tr>
      <w:tr w:rsidR="00FF5A6E">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i/>
              </w:rPr>
            </w:pPr>
            <w:r w:rsidRPr="000E591B">
              <w:rPr>
                <w:rFonts w:ascii="Times New Roman" w:hAnsi="Times New Roman"/>
                <w:i/>
              </w:rPr>
              <w:t>j=G</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i/>
              </w:rPr>
              <w:t>D</w:t>
            </w:r>
            <w:r w:rsidRPr="000E591B">
              <w:rPr>
                <w:rFonts w:ascii="Times New Roman" w:hAnsi="Times New Roman"/>
                <w:i/>
                <w:vertAlign w:val="subscript"/>
              </w:rPr>
              <w:t>u</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i/>
              </w:rPr>
              <w:t>D</w:t>
            </w:r>
            <w:r w:rsidRPr="000E591B">
              <w:rPr>
                <w:rFonts w:ascii="Times New Roman" w:hAnsi="Times New Roman"/>
                <w:i/>
                <w:vertAlign w:val="subscript"/>
              </w:rPr>
              <w:t>u</w:t>
            </w:r>
          </w:p>
        </w:tc>
        <w:tc>
          <w:tcPr>
            <w:tcW w:w="1915"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i/>
              </w:rPr>
              <w:t>D</w:t>
            </w:r>
            <w:r w:rsidRPr="000E591B">
              <w:rPr>
                <w:rFonts w:ascii="Times New Roman" w:hAnsi="Times New Roman"/>
                <w:i/>
                <w:vertAlign w:val="subscript"/>
              </w:rPr>
              <w:t>u</w:t>
            </w:r>
          </w:p>
        </w:tc>
        <w:tc>
          <w:tcPr>
            <w:tcW w:w="1916" w:type="dxa"/>
            <w:tcBorders>
              <w:top w:val="single" w:sz="4" w:space="0" w:color="auto"/>
              <w:left w:val="single" w:sz="4" w:space="0" w:color="auto"/>
              <w:bottom w:val="single" w:sz="4" w:space="0" w:color="auto"/>
              <w:right w:val="single" w:sz="4" w:space="0" w:color="auto"/>
            </w:tcBorders>
          </w:tcPr>
          <w:p w:rsidR="00FF5A6E" w:rsidRPr="000E591B" w:rsidRDefault="00FF5A6E" w:rsidP="000E591B">
            <w:pPr>
              <w:pStyle w:val="Default"/>
              <w:jc w:val="center"/>
              <w:rPr>
                <w:rFonts w:ascii="Times New Roman" w:hAnsi="Times New Roman"/>
              </w:rPr>
            </w:pPr>
            <w:r w:rsidRPr="000E591B">
              <w:rPr>
                <w:rFonts w:ascii="Times New Roman" w:hAnsi="Times New Roman"/>
              </w:rPr>
              <w:t>(</w:t>
            </w:r>
            <w:proofErr w:type="spellStart"/>
            <w:r w:rsidRPr="000E591B">
              <w:rPr>
                <w:rFonts w:ascii="Times New Roman" w:hAnsi="Times New Roman"/>
                <w:i/>
              </w:rPr>
              <w:t>u</w:t>
            </w:r>
            <w:r w:rsidRPr="000E591B">
              <w:rPr>
                <w:rFonts w:ascii="Times New Roman" w:hAnsi="Times New Roman"/>
                <w:i/>
                <w:vertAlign w:val="superscript"/>
              </w:rPr>
              <w:t>L</w:t>
            </w:r>
            <w:proofErr w:type="spellEnd"/>
            <w:r w:rsidRPr="000E591B">
              <w:rPr>
                <w:rFonts w:ascii="Times New Roman" w:hAnsi="Times New Roman"/>
                <w:i/>
              </w:rPr>
              <w:t>+</w:t>
            </w:r>
            <w:r w:rsidRPr="000E591B">
              <w:rPr>
                <w:position w:val="-12"/>
              </w:rPr>
              <w:object w:dxaOrig="340" w:dyaOrig="380">
                <v:shape id="_x0000_i1045" type="#_x0000_t75" style="width:17.2pt;height:18.8pt" o:ole="">
                  <v:imagedata r:id="rId52" o:title=""/>
                </v:shape>
                <o:OLEObject Type="Embed" ProgID="Equation.3" ShapeID="_x0000_i1045" DrawAspect="Content" ObjectID="_1331623408" r:id="rId53"/>
              </w:object>
            </w:r>
            <w:r>
              <w:t>)</w:t>
            </w:r>
            <w:r w:rsidRPr="000E591B">
              <w:rPr>
                <w:i/>
              </w:rPr>
              <w:sym w:font="Symbol" w:char="F061"/>
            </w:r>
            <w:r w:rsidRPr="000E591B">
              <w:rPr>
                <w:rFonts w:ascii="Times New Roman" w:hAnsi="Times New Roman"/>
                <w:i/>
                <w:vertAlign w:val="subscript"/>
              </w:rPr>
              <w:t>u</w:t>
            </w:r>
          </w:p>
        </w:tc>
      </w:tr>
    </w:tbl>
    <w:p w:rsidR="00FF5A6E" w:rsidRDefault="00FF5A6E" w:rsidP="002F5942">
      <w:pPr>
        <w:pStyle w:val="Default"/>
        <w:rPr>
          <w:rFonts w:ascii="Times New Roman" w:hAnsi="Times New Roman"/>
        </w:rPr>
      </w:pPr>
    </w:p>
    <w:p w:rsidR="00FF5A6E" w:rsidRDefault="00FF5A6E" w:rsidP="002F5942">
      <w:pPr>
        <w:pStyle w:val="Default"/>
        <w:rPr>
          <w:rFonts w:ascii="Times New Roman" w:hAnsi="Times New Roman"/>
        </w:rPr>
      </w:pP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 xml:space="preserve">Conditional on creditors knowing firm type, we are now in a position to consider the firm’s preferred choice of debt to finance investment in </w:t>
      </w:r>
      <w:r>
        <w:rPr>
          <w:rFonts w:ascii="Times New Roman" w:hAnsi="Times New Roman"/>
          <w:i/>
        </w:rPr>
        <w:t xml:space="preserve">u. </w:t>
      </w:r>
      <w:r>
        <w:rPr>
          <w:rFonts w:ascii="Times New Roman" w:hAnsi="Times New Roman"/>
        </w:rPr>
        <w:t>Without any equity commitment value, existing equityholders are unable to affect management’s financing decisions. This implies that management will conditiontheir financing choice decision on that which maximizes proceeds from security issuance. As a result, financing choice requires a comparison of expected payoffs to creditors conditional on the use of secured versus unsecured debt. The following proposition states the result.</w:t>
      </w:r>
    </w:p>
    <w:p w:rsidR="00FF5A6E" w:rsidRDefault="00FF5A6E" w:rsidP="00D060DD">
      <w:pPr>
        <w:pStyle w:val="Default"/>
        <w:jc w:val="both"/>
        <w:rPr>
          <w:rFonts w:ascii="Times New Roman" w:hAnsi="Times New Roman"/>
        </w:rPr>
      </w:pPr>
    </w:p>
    <w:p w:rsidR="00FF5A6E" w:rsidRDefault="00FF5A6E" w:rsidP="00D060DD">
      <w:pPr>
        <w:pStyle w:val="Default"/>
        <w:jc w:val="both"/>
        <w:rPr>
          <w:rFonts w:ascii="Times New Roman" w:hAnsi="Times New Roman"/>
          <w:i/>
        </w:rPr>
      </w:pPr>
      <w:r>
        <w:rPr>
          <w:rFonts w:ascii="Times New Roman" w:hAnsi="Times New Roman"/>
          <w:b/>
          <w:i/>
          <w:u w:val="single"/>
        </w:rPr>
        <w:t>Proposition</w:t>
      </w:r>
      <w:r w:rsidRPr="00406401">
        <w:rPr>
          <w:rFonts w:ascii="Times New Roman" w:hAnsi="Times New Roman"/>
          <w:b/>
          <w:i/>
          <w:u w:val="single"/>
        </w:rPr>
        <w:t xml:space="preserve"> 1</w:t>
      </w:r>
      <w:r>
        <w:rPr>
          <w:rFonts w:ascii="Times New Roman" w:hAnsi="Times New Roman"/>
          <w:b/>
          <w:i/>
        </w:rPr>
        <w:t xml:space="preserve">: </w:t>
      </w:r>
      <w:r>
        <w:rPr>
          <w:rFonts w:ascii="Times New Roman" w:hAnsi="Times New Roman"/>
          <w:i/>
        </w:rPr>
        <w:t xml:space="preserve">Assume that a firm, after being presented a profitable investment project, </w:t>
      </w:r>
      <w:r>
        <w:rPr>
          <w:rFonts w:ascii="Times New Roman" w:hAnsi="Times New Roman"/>
        </w:rPr>
        <w:t>u</w:t>
      </w:r>
      <w:r>
        <w:rPr>
          <w:rFonts w:ascii="Times New Roman" w:hAnsi="Times New Roman"/>
          <w:i/>
        </w:rPr>
        <w:t xml:space="preserve">, is motivated to undertake the investment based on maximizing security issuance proceeds (minimizing its current cost of capital). Conditional on firm type being known to the lender, the G-quality firm will prefer to finance project </w:t>
      </w:r>
      <w:r>
        <w:rPr>
          <w:rFonts w:ascii="Times New Roman" w:hAnsi="Times New Roman"/>
        </w:rPr>
        <w:t xml:space="preserve">u </w:t>
      </w:r>
      <w:r>
        <w:rPr>
          <w:rFonts w:ascii="Times New Roman" w:hAnsi="Times New Roman"/>
          <w:i/>
        </w:rPr>
        <w:t xml:space="preserve">with unsecured debt. A “moderate” B-quality firm will also prefer to finance the project with unsecured debt while a “low” B-quality firm will prefer to finance project </w:t>
      </w:r>
      <w:r>
        <w:rPr>
          <w:rFonts w:ascii="Times New Roman" w:hAnsi="Times New Roman"/>
        </w:rPr>
        <w:t xml:space="preserve">u </w:t>
      </w:r>
      <w:r>
        <w:rPr>
          <w:rFonts w:ascii="Times New Roman" w:hAnsi="Times New Roman"/>
          <w:i/>
        </w:rPr>
        <w:t xml:space="preserve">with secured debt. Debt issuance proceeds are always greater for the G-quality firm. </w:t>
      </w:r>
    </w:p>
    <w:p w:rsidR="00FF5A6E" w:rsidRDefault="00FF5A6E" w:rsidP="00D060DD">
      <w:pPr>
        <w:pStyle w:val="Default"/>
        <w:jc w:val="both"/>
        <w:rPr>
          <w:rFonts w:ascii="Times New Roman" w:hAnsi="Times New Roman"/>
          <w:i/>
        </w:rPr>
      </w:pPr>
    </w:p>
    <w:p w:rsidR="00FF5A6E" w:rsidRDefault="00FF5A6E" w:rsidP="00D060DD">
      <w:pPr>
        <w:pStyle w:val="Default"/>
        <w:jc w:val="both"/>
        <w:rPr>
          <w:rFonts w:ascii="Times New Roman" w:hAnsi="Times New Roman"/>
        </w:rPr>
      </w:pPr>
      <w:r>
        <w:rPr>
          <w:rFonts w:ascii="Times New Roman" w:hAnsi="Times New Roman"/>
          <w:b/>
          <w:i/>
          <w:u w:val="single"/>
        </w:rPr>
        <w:t>Proof</w:t>
      </w:r>
      <w:r>
        <w:rPr>
          <w:rFonts w:ascii="Times New Roman" w:hAnsi="Times New Roman"/>
          <w:b/>
          <w:i/>
        </w:rPr>
        <w:t xml:space="preserve">: </w:t>
      </w:r>
      <w:r>
        <w:rPr>
          <w:rFonts w:ascii="Times New Roman" w:hAnsi="Times New Roman"/>
          <w:i/>
        </w:rPr>
        <w:t>See Appendix A.</w:t>
      </w:r>
    </w:p>
    <w:p w:rsidR="00FF5A6E" w:rsidRDefault="00FF5A6E" w:rsidP="002F5942">
      <w:pPr>
        <w:pStyle w:val="Default"/>
        <w:rPr>
          <w:rFonts w:ascii="Times New Roman" w:hAnsi="Times New Roman"/>
        </w:rPr>
      </w:pPr>
    </w:p>
    <w:p w:rsidR="00FF5A6E" w:rsidRDefault="00FF5A6E" w:rsidP="002F5942">
      <w:pPr>
        <w:pStyle w:val="Default"/>
        <w:rPr>
          <w:rFonts w:ascii="Times New Roman" w:hAnsi="Times New Roman"/>
        </w:rPr>
      </w:pP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 xml:space="preserve">The intuition for this result is straightforward. </w:t>
      </w:r>
      <w:r>
        <w:rPr>
          <w:rFonts w:ascii="Times New Roman" w:hAnsi="Times New Roman"/>
          <w:i/>
        </w:rPr>
        <w:t>G-</w:t>
      </w:r>
      <w:r>
        <w:rPr>
          <w:rFonts w:ascii="Times New Roman" w:hAnsi="Times New Roman"/>
        </w:rPr>
        <w:t xml:space="preserve">quality firms can obtain greater proceeds, or equivalently a lower cost of debt capital, by offering its existing stock of high quality projects as collateral for the new unsecured loan. Doing so simultaneously decreases the risk of default on the new issuance and improves recovery conditional on default. This implies that the </w:t>
      </w:r>
      <w:r>
        <w:rPr>
          <w:rFonts w:ascii="Times New Roman" w:hAnsi="Times New Roman"/>
          <w:i/>
        </w:rPr>
        <w:t>G-</w:t>
      </w:r>
      <w:r>
        <w:rPr>
          <w:rFonts w:ascii="Times New Roman" w:hAnsi="Times New Roman"/>
        </w:rPr>
        <w:t xml:space="preserve">quality firm has higher </w:t>
      </w:r>
      <w:r w:rsidRPr="00F55EA0">
        <w:rPr>
          <w:rFonts w:ascii="Times New Roman" w:hAnsi="Times New Roman"/>
          <w:i/>
        </w:rPr>
        <w:t xml:space="preserve">ex ante </w:t>
      </w:r>
      <w:r>
        <w:rPr>
          <w:rFonts w:ascii="Times New Roman" w:hAnsi="Times New Roman"/>
        </w:rPr>
        <w:t xml:space="preserve">debt capacity than the </w:t>
      </w:r>
      <w:r>
        <w:rPr>
          <w:rFonts w:ascii="Times New Roman" w:hAnsi="Times New Roman"/>
          <w:i/>
        </w:rPr>
        <w:t>B-</w:t>
      </w:r>
      <w:r>
        <w:rPr>
          <w:rFonts w:ascii="Times New Roman" w:hAnsi="Times New Roman"/>
        </w:rPr>
        <w:t xml:space="preserve">quality firm. In contrast, the existing stock of projects for the </w:t>
      </w:r>
      <w:r>
        <w:rPr>
          <w:rFonts w:ascii="Times New Roman" w:hAnsi="Times New Roman"/>
          <w:i/>
        </w:rPr>
        <w:t>B-</w:t>
      </w:r>
      <w:r>
        <w:rPr>
          <w:rFonts w:ascii="Times New Roman" w:hAnsi="Times New Roman"/>
        </w:rPr>
        <w:t xml:space="preserve">quality firm is of lower quality as compared to the new project. Pledging the existing stock as collateral for an unsecured loan is, consequently, less advantageous as compared to the </w:t>
      </w:r>
      <w:r>
        <w:rPr>
          <w:rFonts w:ascii="Times New Roman" w:hAnsi="Times New Roman"/>
          <w:i/>
        </w:rPr>
        <w:t>G-</w:t>
      </w:r>
      <w:r>
        <w:rPr>
          <w:rFonts w:ascii="Times New Roman" w:hAnsi="Times New Roman"/>
        </w:rPr>
        <w:t xml:space="preserve">quality firm. </w:t>
      </w: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lastRenderedPageBreak/>
        <w:t xml:space="preserve">For moderate </w:t>
      </w:r>
      <w:r>
        <w:rPr>
          <w:rFonts w:ascii="Times New Roman" w:hAnsi="Times New Roman"/>
          <w:i/>
        </w:rPr>
        <w:t>B-</w:t>
      </w:r>
      <w:r>
        <w:rPr>
          <w:rFonts w:ascii="Times New Roman" w:hAnsi="Times New Roman"/>
        </w:rPr>
        <w:t xml:space="preserve">quality firms, unsecured debt issuance proceeds exceed secured debt issuance proceeds even the though the risk of default with unsecured debt exceeds that associated with secured debt. This follows because recovery proceeds conditional on default are high enough in the joint High-Low default states to offset the increased risk of default. Low </w:t>
      </w:r>
      <w:r>
        <w:rPr>
          <w:rFonts w:ascii="Times New Roman" w:hAnsi="Times New Roman"/>
          <w:i/>
        </w:rPr>
        <w:t>B-</w:t>
      </w:r>
      <w:r>
        <w:rPr>
          <w:rFonts w:ascii="Times New Roman" w:hAnsi="Times New Roman"/>
        </w:rPr>
        <w:t xml:space="preserve">quality firms—i.e., those firms with relatively lower recoveries in default states—do not generate high enough proceeds in default to offset the increased risk of default. Consequently, the low </w:t>
      </w:r>
      <w:r w:rsidRPr="001A3188">
        <w:rPr>
          <w:rFonts w:ascii="Times New Roman" w:hAnsi="Times New Roman"/>
          <w:i/>
        </w:rPr>
        <w:t>B</w:t>
      </w:r>
      <w:r>
        <w:rPr>
          <w:rFonts w:ascii="Times New Roman" w:hAnsi="Times New Roman"/>
        </w:rPr>
        <w:t>-quality firm can generate higher proceeds through a secured debt issuance.</w:t>
      </w: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Being able to undertake an unsecured debt issuance as described may depend on satisfying a participation constraint, stated as a bond covenant, that guarantees existing creditors they are no worse off as a result of a new investment-financing transaction. The following corollary states the result as it applies to firm preferences for unsecured debt.</w:t>
      </w:r>
    </w:p>
    <w:p w:rsidR="00FF5A6E" w:rsidRDefault="00FF5A6E" w:rsidP="00D060DD">
      <w:pPr>
        <w:pStyle w:val="Default"/>
        <w:jc w:val="both"/>
        <w:rPr>
          <w:rFonts w:ascii="Times New Roman" w:hAnsi="Times New Roman"/>
        </w:rPr>
      </w:pPr>
    </w:p>
    <w:p w:rsidR="00FF5A6E" w:rsidRPr="00CD0C29" w:rsidRDefault="00FF5A6E" w:rsidP="00D060DD">
      <w:pPr>
        <w:pStyle w:val="Default"/>
        <w:jc w:val="both"/>
        <w:rPr>
          <w:rFonts w:ascii="Times New Roman" w:hAnsi="Times New Roman"/>
          <w:i/>
        </w:rPr>
      </w:pPr>
      <w:r>
        <w:rPr>
          <w:rFonts w:ascii="Times New Roman" w:hAnsi="Times New Roman"/>
          <w:b/>
          <w:i/>
          <w:u w:val="single"/>
        </w:rPr>
        <w:t>Corollary 1</w:t>
      </w:r>
      <w:r>
        <w:rPr>
          <w:rFonts w:ascii="Times New Roman" w:hAnsi="Times New Roman"/>
          <w:b/>
          <w:i/>
        </w:rPr>
        <w:t>:</w:t>
      </w:r>
      <w:r>
        <w:rPr>
          <w:rFonts w:ascii="Times New Roman" w:hAnsi="Times New Roman"/>
          <w:i/>
        </w:rPr>
        <w:t xml:space="preserve"> Firms that prefer to issue unsecured debt will satisfy a participation constraint, should it exist, that guarantees that </w:t>
      </w:r>
      <w:r>
        <w:rPr>
          <w:rFonts w:ascii="Times New Roman" w:hAnsi="Times New Roman"/>
        </w:rPr>
        <w:t xml:space="preserve">w </w:t>
      </w:r>
      <w:r>
        <w:rPr>
          <w:rFonts w:ascii="Times New Roman" w:hAnsi="Times New Roman"/>
          <w:i/>
        </w:rPr>
        <w:t>creditors are no worse off as a result of the financing decision.</w:t>
      </w:r>
    </w:p>
    <w:p w:rsidR="00FF5A6E" w:rsidRDefault="00FF5A6E" w:rsidP="00D060DD">
      <w:pPr>
        <w:pStyle w:val="Default"/>
        <w:jc w:val="both"/>
        <w:rPr>
          <w:rFonts w:ascii="Times New Roman" w:hAnsi="Times New Roman"/>
        </w:rPr>
      </w:pPr>
    </w:p>
    <w:p w:rsidR="00FF5A6E" w:rsidRPr="00CD0C29" w:rsidRDefault="00FF5A6E" w:rsidP="00D060DD">
      <w:pPr>
        <w:pStyle w:val="Default"/>
        <w:jc w:val="both"/>
        <w:rPr>
          <w:rFonts w:ascii="Times New Roman" w:hAnsi="Times New Roman"/>
          <w:i/>
        </w:rPr>
      </w:pPr>
      <w:r>
        <w:rPr>
          <w:rFonts w:ascii="Times New Roman" w:hAnsi="Times New Roman"/>
          <w:b/>
          <w:i/>
          <w:u w:val="single"/>
        </w:rPr>
        <w:t>Proof</w:t>
      </w:r>
      <w:r>
        <w:rPr>
          <w:rFonts w:ascii="Times New Roman" w:hAnsi="Times New Roman"/>
          <w:b/>
          <w:i/>
        </w:rPr>
        <w:t xml:space="preserve">: </w:t>
      </w:r>
      <w:r>
        <w:rPr>
          <w:rFonts w:ascii="Times New Roman" w:hAnsi="Times New Roman"/>
          <w:i/>
        </w:rPr>
        <w:t>See Appendix A.</w:t>
      </w:r>
    </w:p>
    <w:p w:rsidR="00FF5A6E" w:rsidRDefault="00FF5A6E" w:rsidP="00D060DD">
      <w:pPr>
        <w:pStyle w:val="Default"/>
        <w:jc w:val="both"/>
        <w:rPr>
          <w:rFonts w:ascii="Times New Roman" w:hAnsi="Times New Roman"/>
        </w:rPr>
      </w:pPr>
    </w:p>
    <w:p w:rsidR="00FF5A6E" w:rsidRDefault="00FF5A6E" w:rsidP="00D060DD">
      <w:pPr>
        <w:pStyle w:val="Default"/>
        <w:jc w:val="both"/>
        <w:rPr>
          <w:rFonts w:ascii="Times New Roman" w:hAnsi="Times New Roman"/>
        </w:rPr>
      </w:pPr>
    </w:p>
    <w:p w:rsidR="00FF5A6E" w:rsidRDefault="00FF5A6E" w:rsidP="00D060DD">
      <w:pPr>
        <w:pStyle w:val="Default"/>
        <w:spacing w:line="480" w:lineRule="auto"/>
        <w:ind w:firstLine="720"/>
        <w:jc w:val="both"/>
        <w:rPr>
          <w:rFonts w:ascii="Times New Roman" w:hAnsi="Times New Roman"/>
        </w:rPr>
      </w:pPr>
      <w:r>
        <w:rPr>
          <w:rFonts w:ascii="Times New Roman" w:hAnsi="Times New Roman"/>
        </w:rPr>
        <w:t xml:space="preserve">This corollary is really about the risk associated with asset substitution. Very low quality firms would like to engage in asset substitution, but their revealed identity leads to secured debt issuance that eliminates asset substitution as a concern to creditors. Higher quality firms, in contrast, do not water down their claim with addition of new collateral. They can therefore issue unsecured debt at an attractive price. Note that asset substitution in this case is not as traditionally characterized, with firms undertaking a new high-risk negative NPV project, but is instead about bringing older assets to the table as potential collateral for financing a new project. </w:t>
      </w:r>
    </w:p>
    <w:p w:rsidR="00FF5A6E" w:rsidRPr="008C5132" w:rsidRDefault="00FF5A6E" w:rsidP="00D060DD">
      <w:pPr>
        <w:pStyle w:val="Default"/>
        <w:spacing w:line="480" w:lineRule="auto"/>
        <w:ind w:firstLine="720"/>
        <w:jc w:val="both"/>
        <w:rPr>
          <w:rFonts w:ascii="Times New Roman" w:hAnsi="Times New Roman"/>
        </w:rPr>
      </w:pPr>
      <w:r>
        <w:rPr>
          <w:rFonts w:ascii="Times New Roman" w:hAnsi="Times New Roman"/>
        </w:rPr>
        <w:lastRenderedPageBreak/>
        <w:t xml:space="preserve">Results stated in the above proposition and corollary assume that </w:t>
      </w:r>
      <w:r>
        <w:rPr>
          <w:rFonts w:ascii="Times New Roman" w:hAnsi="Times New Roman"/>
          <w:i/>
        </w:rPr>
        <w:t xml:space="preserve">u </w:t>
      </w:r>
      <w:r>
        <w:rPr>
          <w:rFonts w:ascii="Times New Roman" w:hAnsi="Times New Roman"/>
        </w:rPr>
        <w:t xml:space="preserve">creditors can identify firm type prior to debt issuance. Creditors cannot, in fact, differentiate between firms at time </w:t>
      </w:r>
      <w:r>
        <w:rPr>
          <w:rFonts w:ascii="Times New Roman" w:hAnsi="Times New Roman"/>
          <w:i/>
        </w:rPr>
        <w:t>t</w:t>
      </w:r>
      <w:r>
        <w:rPr>
          <w:rFonts w:ascii="Times New Roman" w:hAnsi="Times New Roman"/>
          <w:i/>
          <w:vertAlign w:val="subscript"/>
        </w:rPr>
        <w:t>0</w:t>
      </w:r>
      <w:r>
        <w:rPr>
          <w:rFonts w:ascii="Times New Roman" w:hAnsi="Times New Roman"/>
          <w:i/>
        </w:rPr>
        <w:t xml:space="preserve">. </w:t>
      </w:r>
      <w:r>
        <w:rPr>
          <w:rFonts w:ascii="Times New Roman" w:hAnsi="Times New Roman"/>
        </w:rPr>
        <w:t xml:space="preserve">They do know that, conditional on firm identity being known at that time of issuance, a </w:t>
      </w:r>
      <w:r>
        <w:rPr>
          <w:rFonts w:ascii="Times New Roman" w:hAnsi="Times New Roman"/>
          <w:i/>
        </w:rPr>
        <w:t>G-</w:t>
      </w:r>
      <w:r>
        <w:rPr>
          <w:rFonts w:ascii="Times New Roman" w:hAnsi="Times New Roman"/>
        </w:rPr>
        <w:t xml:space="preserve">quality firm would prefer to finance investment in </w:t>
      </w:r>
      <w:r>
        <w:rPr>
          <w:rFonts w:ascii="Times New Roman" w:hAnsi="Times New Roman"/>
          <w:i/>
        </w:rPr>
        <w:t xml:space="preserve">u </w:t>
      </w:r>
      <w:r>
        <w:rPr>
          <w:rFonts w:ascii="Times New Roman" w:hAnsi="Times New Roman"/>
        </w:rPr>
        <w:t xml:space="preserve">with unsecured debt, and that it will be given high issuance proceeds relative to a </w:t>
      </w:r>
      <w:r>
        <w:rPr>
          <w:rFonts w:ascii="Times New Roman" w:hAnsi="Times New Roman"/>
          <w:i/>
        </w:rPr>
        <w:t>B-</w:t>
      </w:r>
      <w:r>
        <w:rPr>
          <w:rFonts w:ascii="Times New Roman" w:hAnsi="Times New Roman"/>
        </w:rPr>
        <w:t xml:space="preserve">quality firm. But they also know that a </w:t>
      </w:r>
      <w:r>
        <w:rPr>
          <w:rFonts w:ascii="Times New Roman" w:hAnsi="Times New Roman"/>
          <w:i/>
        </w:rPr>
        <w:t>B-</w:t>
      </w:r>
      <w:r>
        <w:rPr>
          <w:rFonts w:ascii="Times New Roman" w:hAnsi="Times New Roman"/>
        </w:rPr>
        <w:t xml:space="preserve">quality firm would like to mimic the </w:t>
      </w:r>
      <w:r>
        <w:rPr>
          <w:rFonts w:ascii="Times New Roman" w:hAnsi="Times New Roman"/>
          <w:i/>
        </w:rPr>
        <w:t>G-</w:t>
      </w:r>
      <w:r>
        <w:rPr>
          <w:rFonts w:ascii="Times New Roman" w:hAnsi="Times New Roman"/>
        </w:rPr>
        <w:t xml:space="preserve">quality firm to obtain the same terms as a </w:t>
      </w:r>
      <w:r>
        <w:rPr>
          <w:rFonts w:ascii="Times New Roman" w:hAnsi="Times New Roman"/>
          <w:i/>
        </w:rPr>
        <w:t>G-</w:t>
      </w:r>
      <w:r>
        <w:rPr>
          <w:rFonts w:ascii="Times New Roman" w:hAnsi="Times New Roman"/>
        </w:rPr>
        <w:t xml:space="preserve">quality firm. Consequently, without some way to screen firms, unsecured debt to finance project </w:t>
      </w:r>
      <w:r>
        <w:rPr>
          <w:rFonts w:ascii="Times New Roman" w:hAnsi="Times New Roman"/>
          <w:i/>
        </w:rPr>
        <w:t xml:space="preserve">u </w:t>
      </w:r>
      <w:r>
        <w:rPr>
          <w:rFonts w:ascii="Times New Roman" w:hAnsi="Times New Roman"/>
        </w:rPr>
        <w:t xml:space="preserve">will not be offered to any firm at terms available to the known </w:t>
      </w:r>
      <w:r w:rsidRPr="008C5132">
        <w:rPr>
          <w:rFonts w:ascii="Times New Roman" w:hAnsi="Times New Roman"/>
          <w:i/>
        </w:rPr>
        <w:t>G</w:t>
      </w:r>
      <w:r>
        <w:rPr>
          <w:rFonts w:ascii="Times New Roman" w:hAnsi="Times New Roman"/>
        </w:rPr>
        <w:t xml:space="preserve">-quality firm. This will cause financiers and the </w:t>
      </w:r>
      <w:r>
        <w:rPr>
          <w:rFonts w:ascii="Times New Roman" w:hAnsi="Times New Roman"/>
          <w:i/>
        </w:rPr>
        <w:t>G-</w:t>
      </w:r>
      <w:r>
        <w:rPr>
          <w:rFonts w:ascii="Times New Roman" w:hAnsi="Times New Roman"/>
        </w:rPr>
        <w:t>quality firm to explore mechanisms capable of revealing type.</w:t>
      </w:r>
    </w:p>
    <w:p w:rsidR="00FF5A6E" w:rsidRPr="00655742" w:rsidRDefault="00FF5A6E" w:rsidP="00D060DD">
      <w:pPr>
        <w:pStyle w:val="Default"/>
        <w:spacing w:line="480" w:lineRule="auto"/>
        <w:ind w:firstLine="720"/>
        <w:jc w:val="both"/>
        <w:rPr>
          <w:rFonts w:ascii="Times New Roman" w:hAnsi="Times New Roman"/>
        </w:rPr>
      </w:pPr>
      <w:r>
        <w:rPr>
          <w:rFonts w:ascii="Times New Roman" w:hAnsi="Times New Roman"/>
        </w:rPr>
        <w:t xml:space="preserve">Creditors of </w:t>
      </w:r>
      <w:r>
        <w:rPr>
          <w:rFonts w:ascii="Times New Roman" w:hAnsi="Times New Roman"/>
          <w:i/>
        </w:rPr>
        <w:t>u</w:t>
      </w:r>
      <w:r>
        <w:rPr>
          <w:rFonts w:ascii="Times New Roman" w:hAnsi="Times New Roman"/>
        </w:rPr>
        <w:t xml:space="preserve"> can attempt to screen borrowers by way of requiring equity issuance coincident with unsecured debt issuance. This imposes a threshold cost on the issuing firm due to the costs of equity issuance. The question is whether firms are willing to issue equity, and, if so, how much and under what conditions.</w:t>
      </w:r>
    </w:p>
    <w:p w:rsidR="00FF5A6E" w:rsidRDefault="00FF5A6E" w:rsidP="00D060DD">
      <w:pPr>
        <w:spacing w:line="480" w:lineRule="auto"/>
        <w:ind w:firstLine="720"/>
        <w:jc w:val="both"/>
      </w:pPr>
      <w:r>
        <w:t xml:space="preserve">Define equity as a state contingent claim—a credible and enforceable guarantee made by the firm—that pays off to the unsecured lender in some or all of the default states. This guarantee is relatively low cost to the </w:t>
      </w:r>
      <w:r>
        <w:rPr>
          <w:i/>
        </w:rPr>
        <w:t>G-</w:t>
      </w:r>
      <w:r>
        <w:t xml:space="preserve">quality firm, since it has a lower probability of default (and equity loses everything) than the </w:t>
      </w:r>
      <w:r>
        <w:rPr>
          <w:i/>
        </w:rPr>
        <w:t>B-</w:t>
      </w:r>
      <w:r>
        <w:t xml:space="preserve">quality firm. In contrast, equity is clearly more costly to the </w:t>
      </w:r>
      <w:r>
        <w:rPr>
          <w:i/>
        </w:rPr>
        <w:t>B-</w:t>
      </w:r>
      <w:r>
        <w:t xml:space="preserve">quality firm that might wish to mimic the </w:t>
      </w:r>
      <w:r>
        <w:rPr>
          <w:i/>
        </w:rPr>
        <w:t>G-</w:t>
      </w:r>
      <w:r>
        <w:t xml:space="preserve">quality firm. The unsecured lender knows that the </w:t>
      </w:r>
      <w:r>
        <w:rPr>
          <w:i/>
        </w:rPr>
        <w:t>G-</w:t>
      </w:r>
      <w:r>
        <w:t xml:space="preserve">quality firm, if given the opportunity, will have an incentive to issue equity in an attempt to separate itself from the </w:t>
      </w:r>
      <w:r>
        <w:rPr>
          <w:i/>
        </w:rPr>
        <w:t>B-</w:t>
      </w:r>
      <w:r>
        <w:t xml:space="preserve">quality firm. </w:t>
      </w:r>
    </w:p>
    <w:p w:rsidR="00FF5A6E" w:rsidRDefault="00FF5A6E" w:rsidP="00D060DD">
      <w:pPr>
        <w:spacing w:line="480" w:lineRule="auto"/>
        <w:ind w:firstLine="720"/>
        <w:jc w:val="both"/>
      </w:pPr>
      <w:r>
        <w:t xml:space="preserve">As a first step in this analysis, we will need to specify issuance proceeds associated with unsecured debt in a pooling equilibrium. This is because </w:t>
      </w:r>
      <w:r>
        <w:rPr>
          <w:i/>
        </w:rPr>
        <w:t>B</w:t>
      </w:r>
      <w:r>
        <w:t xml:space="preserve">-quality firms can increase issuance proceeds above their full-information value by mimicking the </w:t>
      </w:r>
      <w:r>
        <w:rPr>
          <w:i/>
        </w:rPr>
        <w:t>G-</w:t>
      </w:r>
      <w:r>
        <w:t xml:space="preserve">quality firm. Successful </w:t>
      </w:r>
      <w:r>
        <w:lastRenderedPageBreak/>
        <w:t xml:space="preserve">mimicry will, in turn, cause the unsecured creditors to pool. For the analysis that follows, we will benignly assume that </w:t>
      </w:r>
      <w:r>
        <w:rPr>
          <w:i/>
        </w:rPr>
        <w:t>G-</w:t>
      </w:r>
      <w:r>
        <w:t xml:space="preserve"> and </w:t>
      </w:r>
      <w:r>
        <w:rPr>
          <w:i/>
        </w:rPr>
        <w:t>B-</w:t>
      </w:r>
      <w:r>
        <w:t xml:space="preserve">quality firms exist in equal proportion to one another and that </w:t>
      </w:r>
      <w:r>
        <w:rPr>
          <w:i/>
        </w:rPr>
        <w:t>u</w:t>
      </w:r>
      <w:r>
        <w:rPr>
          <w:i/>
          <w:vertAlign w:val="superscript"/>
        </w:rPr>
        <w:t>H</w:t>
      </w:r>
      <w:r>
        <w:rPr>
          <w:i/>
        </w:rPr>
        <w:t>+u</w:t>
      </w:r>
      <w:r>
        <w:rPr>
          <w:i/>
          <w:vertAlign w:val="superscript"/>
        </w:rPr>
        <w:t>L</w:t>
      </w:r>
      <w:r>
        <w:t xml:space="preserve"> is less than </w:t>
      </w:r>
      <w:r>
        <w:rPr>
          <w:i/>
        </w:rPr>
        <w:t>D</w:t>
      </w:r>
      <w:r>
        <w:rPr>
          <w:i/>
          <w:vertAlign w:val="subscript"/>
        </w:rPr>
        <w:t>u</w:t>
      </w:r>
      <w:r>
        <w:rPr>
          <w:i/>
        </w:rPr>
        <w:t>+D</w:t>
      </w:r>
      <w:r>
        <w:rPr>
          <w:i/>
          <w:vertAlign w:val="subscript"/>
        </w:rPr>
        <w:t>w</w:t>
      </w:r>
      <w:r>
        <w:rPr>
          <w:i/>
        </w:rPr>
        <w:t xml:space="preserve">. </w:t>
      </w:r>
      <w:r>
        <w:t>Neither assumption is restrictive, but rather is made to simplify the analysis. With this, we state unsecured debt issuance proceeds under pooling in the following lemma.</w:t>
      </w:r>
    </w:p>
    <w:p w:rsidR="00FF5A6E" w:rsidRDefault="00FF5A6E" w:rsidP="00D060DD">
      <w:pPr>
        <w:jc w:val="both"/>
      </w:pPr>
    </w:p>
    <w:p w:rsidR="00FF5A6E" w:rsidRDefault="00FF5A6E" w:rsidP="00D060DD">
      <w:pPr>
        <w:jc w:val="both"/>
        <w:rPr>
          <w:i/>
        </w:rPr>
      </w:pPr>
      <w:r>
        <w:rPr>
          <w:b/>
          <w:i/>
          <w:u w:val="single"/>
        </w:rPr>
        <w:t>Lemma 1</w:t>
      </w:r>
      <w:r>
        <w:rPr>
          <w:b/>
          <w:i/>
        </w:rPr>
        <w:t xml:space="preserve">: </w:t>
      </w:r>
      <w:r>
        <w:rPr>
          <w:i/>
        </w:rPr>
        <w:t xml:space="preserve">Unsecured debt issuance proceeds in a pooling equilibrium are </w:t>
      </w:r>
      <w:r w:rsidRPr="007A4573">
        <w:rPr>
          <w:i/>
          <w:position w:val="-12"/>
        </w:rPr>
        <w:object w:dxaOrig="440" w:dyaOrig="380">
          <v:shape id="_x0000_i1046" type="#_x0000_t75" style="width:22.05pt;height:18.8pt" o:ole="">
            <v:imagedata r:id="rId54" o:title=""/>
          </v:shape>
          <o:OLEObject Type="Embed" ProgID="Equation.3" ShapeID="_x0000_i1046" DrawAspect="Content" ObjectID="_1331623409" r:id="rId55"/>
        </w:object>
      </w:r>
      <w:proofErr w:type="gramStart"/>
      <w:r>
        <w:rPr>
          <w:i/>
        </w:rPr>
        <w:t>=(</w:t>
      </w:r>
      <w:proofErr w:type="gramEnd"/>
      <w:r>
        <w:rPr>
          <w:i/>
        </w:rPr>
        <w:t>D</w:t>
      </w:r>
      <w:r>
        <w:rPr>
          <w:i/>
          <w:vertAlign w:val="subscript"/>
        </w:rPr>
        <w:t>u</w:t>
      </w:r>
      <w:r>
        <w:rPr>
          <w:i/>
        </w:rPr>
        <w:t>+u</w:t>
      </w:r>
      <w:r>
        <w:rPr>
          <w:i/>
          <w:vertAlign w:val="superscript"/>
        </w:rPr>
        <w:t>H</w:t>
      </w:r>
      <w:r>
        <w:rPr>
          <w:i/>
        </w:rPr>
        <w:t>+2u</w:t>
      </w:r>
      <w:r>
        <w:rPr>
          <w:i/>
          <w:vertAlign w:val="superscript"/>
        </w:rPr>
        <w:t>L</w:t>
      </w:r>
      <w:r>
        <w:rPr>
          <w:i/>
        </w:rPr>
        <w:t xml:space="preserve">)/4. These proceeds exceed issuance proceeds available to the </w:t>
      </w:r>
      <w:r>
        <w:t>B</w:t>
      </w:r>
      <w:r>
        <w:rPr>
          <w:i/>
        </w:rPr>
        <w:t xml:space="preserve">-quality firm when its type is known, but are less than proceeds available to a known </w:t>
      </w:r>
      <w:r>
        <w:t>G-</w:t>
      </w:r>
      <w:r>
        <w:rPr>
          <w:i/>
        </w:rPr>
        <w:t>quality firm.</w:t>
      </w:r>
    </w:p>
    <w:p w:rsidR="00FF5A6E" w:rsidRDefault="00FF5A6E" w:rsidP="00D060DD">
      <w:pPr>
        <w:jc w:val="both"/>
        <w:rPr>
          <w:i/>
        </w:rPr>
      </w:pPr>
    </w:p>
    <w:p w:rsidR="00FF5A6E" w:rsidRPr="00B8654F" w:rsidRDefault="00FF5A6E" w:rsidP="00D060DD">
      <w:pPr>
        <w:jc w:val="both"/>
        <w:rPr>
          <w:i/>
        </w:rPr>
      </w:pPr>
      <w:r>
        <w:rPr>
          <w:b/>
          <w:i/>
          <w:u w:val="single"/>
        </w:rPr>
        <w:t>Proof</w:t>
      </w:r>
      <w:r>
        <w:rPr>
          <w:b/>
          <w:i/>
        </w:rPr>
        <w:t xml:space="preserve">: </w:t>
      </w:r>
      <w:r>
        <w:rPr>
          <w:i/>
        </w:rPr>
        <w:t>See Appendix A.</w:t>
      </w:r>
    </w:p>
    <w:p w:rsidR="00FF5A6E" w:rsidRDefault="00FF5A6E" w:rsidP="00D060DD">
      <w:pPr>
        <w:jc w:val="both"/>
      </w:pPr>
    </w:p>
    <w:p w:rsidR="00FF5A6E" w:rsidRPr="00216DB9" w:rsidRDefault="00FF5A6E" w:rsidP="00D060DD">
      <w:pPr>
        <w:jc w:val="both"/>
      </w:pPr>
    </w:p>
    <w:p w:rsidR="00FF5A6E" w:rsidRDefault="00FF5A6E" w:rsidP="00D060DD">
      <w:pPr>
        <w:spacing w:line="480" w:lineRule="auto"/>
        <w:ind w:firstLine="720"/>
        <w:jc w:val="both"/>
      </w:pPr>
      <w:r>
        <w:t xml:space="preserve">This lemma establishes that a </w:t>
      </w:r>
      <w:r>
        <w:rPr>
          <w:i/>
        </w:rPr>
        <w:t>B-</w:t>
      </w:r>
      <w:r>
        <w:t xml:space="preserve">quality firm would like to try to mimic a </w:t>
      </w:r>
      <w:r>
        <w:rPr>
          <w:i/>
        </w:rPr>
        <w:t>G-</w:t>
      </w:r>
      <w:r>
        <w:t xml:space="preserve">quality firm, and that a </w:t>
      </w:r>
      <w:r>
        <w:rPr>
          <w:i/>
        </w:rPr>
        <w:t>G</w:t>
      </w:r>
      <w:r>
        <w:t xml:space="preserve">-quality firm would like to try to separate itself from a </w:t>
      </w:r>
      <w:r>
        <w:rPr>
          <w:i/>
        </w:rPr>
        <w:t>B-</w:t>
      </w:r>
      <w:r>
        <w:t xml:space="preserve">quality firm. The feasibility of separation comes down to the fixed cost of equity issuance as it applies to the </w:t>
      </w:r>
      <w:r>
        <w:rPr>
          <w:i/>
        </w:rPr>
        <w:t>G-</w:t>
      </w:r>
      <w:r>
        <w:t xml:space="preserve">quality firm and the relative cost of issuing a state-contingent equity claim for the </w:t>
      </w:r>
      <w:r>
        <w:rPr>
          <w:i/>
        </w:rPr>
        <w:t>B-</w:t>
      </w:r>
      <w:r>
        <w:t>quality firm.</w:t>
      </w:r>
    </w:p>
    <w:p w:rsidR="00FF5A6E" w:rsidRDefault="00FF5A6E" w:rsidP="00D060DD">
      <w:pPr>
        <w:spacing w:line="480" w:lineRule="auto"/>
        <w:ind w:firstLine="720"/>
        <w:jc w:val="both"/>
      </w:pPr>
      <w:r>
        <w:t xml:space="preserve">Denote unsecured debt proceeds associated with a known </w:t>
      </w:r>
      <w:r>
        <w:rPr>
          <w:i/>
        </w:rPr>
        <w:t>G</w:t>
      </w:r>
      <w:r>
        <w:t xml:space="preserve">-quality firm as </w:t>
      </w:r>
      <w:r w:rsidRPr="007A4573">
        <w:rPr>
          <w:i/>
          <w:position w:val="-12"/>
        </w:rPr>
        <w:object w:dxaOrig="440" w:dyaOrig="380">
          <v:shape id="_x0000_i1047" type="#_x0000_t75" style="width:22.05pt;height:18.8pt" o:ole="">
            <v:imagedata r:id="rId56" o:title=""/>
          </v:shape>
          <o:OLEObject Type="Embed" ProgID="Equation.3" ShapeID="_x0000_i1047" DrawAspect="Content" ObjectID="_1331623410" r:id="rId57"/>
        </w:object>
      </w:r>
      <w:r>
        <w:t xml:space="preserve">and let </w:t>
      </w:r>
      <w:r>
        <w:rPr>
          <w:i/>
        </w:rPr>
        <w:sym w:font="Symbol" w:char="F067"/>
      </w:r>
      <w:r>
        <w:rPr>
          <w:i/>
          <w:vertAlign w:val="subscript"/>
        </w:rPr>
        <w:t>E</w:t>
      </w:r>
      <w:r>
        <w:rPr>
          <w:i/>
        </w:rPr>
        <w:t xml:space="preserve"> </w:t>
      </w:r>
      <w:r>
        <w:t>be the fixed cost of equity issuance. The following lemma establishes conditions under which an unsecured debt issuance pooling equilibrium is realized.</w:t>
      </w:r>
    </w:p>
    <w:p w:rsidR="00FF5A6E" w:rsidRDefault="00FF5A6E" w:rsidP="00D060DD">
      <w:pPr>
        <w:jc w:val="both"/>
      </w:pPr>
    </w:p>
    <w:p w:rsidR="00FF5A6E" w:rsidRDefault="00FF5A6E" w:rsidP="00D060DD">
      <w:pPr>
        <w:jc w:val="both"/>
        <w:rPr>
          <w:i/>
        </w:rPr>
      </w:pPr>
      <w:r>
        <w:rPr>
          <w:b/>
          <w:i/>
          <w:u w:val="single"/>
        </w:rPr>
        <w:t>Lemma 2</w:t>
      </w:r>
      <w:r>
        <w:rPr>
          <w:b/>
          <w:i/>
        </w:rPr>
        <w:t xml:space="preserve">: </w:t>
      </w:r>
      <w:r>
        <w:rPr>
          <w:i/>
        </w:rPr>
        <w:t xml:space="preserve">If </w:t>
      </w:r>
      <w:r>
        <w:rPr>
          <w:i/>
        </w:rPr>
        <w:sym w:font="Symbol" w:char="F067"/>
      </w:r>
      <w:r>
        <w:rPr>
          <w:i/>
          <w:vertAlign w:val="subscript"/>
        </w:rPr>
        <w:t>E</w:t>
      </w:r>
      <w:r>
        <w:rPr>
          <w:i/>
        </w:rPr>
        <w:t>&lt;</w:t>
      </w:r>
      <w:r w:rsidRPr="007A4573">
        <w:rPr>
          <w:i/>
          <w:position w:val="-12"/>
        </w:rPr>
        <w:object w:dxaOrig="440" w:dyaOrig="380">
          <v:shape id="_x0000_i1048" type="#_x0000_t75" style="width:22.05pt;height:18.8pt" o:ole="">
            <v:imagedata r:id="rId56" o:title=""/>
          </v:shape>
          <o:OLEObject Type="Embed" ProgID="Equation.3" ShapeID="_x0000_i1048" DrawAspect="Content" ObjectID="_1331623411" r:id="rId58"/>
        </w:object>
      </w:r>
      <w:r>
        <w:rPr>
          <w:i/>
        </w:rPr>
        <w:sym w:font="Symbol" w:char="F02D"/>
      </w:r>
      <w:r w:rsidRPr="007A4573">
        <w:rPr>
          <w:i/>
          <w:position w:val="-12"/>
        </w:rPr>
        <w:object w:dxaOrig="440" w:dyaOrig="380">
          <v:shape id="_x0000_i1049" type="#_x0000_t75" style="width:22.05pt;height:18.8pt" o:ole="">
            <v:imagedata r:id="rId59" o:title=""/>
          </v:shape>
          <o:OLEObject Type="Embed" ProgID="Equation.3" ShapeID="_x0000_i1049" DrawAspect="Content" ObjectID="_1331623412" r:id="rId60"/>
        </w:object>
      </w:r>
      <w:r>
        <w:rPr>
          <w:i/>
        </w:rPr>
        <w:t xml:space="preserve">, unsecured creditors will consider screening firms by requiring coincident equity issuance. </w:t>
      </w:r>
      <w:proofErr w:type="gramStart"/>
      <w:r>
        <w:rPr>
          <w:i/>
        </w:rPr>
        <w:t xml:space="preserve">Otherwise, if </w:t>
      </w:r>
      <w:r>
        <w:rPr>
          <w:i/>
        </w:rPr>
        <w:sym w:font="Symbol" w:char="F067"/>
      </w:r>
      <w:r>
        <w:rPr>
          <w:i/>
          <w:vertAlign w:val="subscript"/>
        </w:rPr>
        <w:t>E</w:t>
      </w:r>
      <w:r>
        <w:rPr>
          <w:i/>
        </w:rPr>
        <w:t>≥</w:t>
      </w:r>
      <w:r w:rsidRPr="007A4573">
        <w:rPr>
          <w:i/>
          <w:position w:val="-12"/>
        </w:rPr>
        <w:object w:dxaOrig="440" w:dyaOrig="380">
          <v:shape id="_x0000_i1050" type="#_x0000_t75" style="width:22.05pt;height:18.8pt" o:ole="">
            <v:imagedata r:id="rId56" o:title=""/>
          </v:shape>
          <o:OLEObject Type="Embed" ProgID="Equation.3" ShapeID="_x0000_i1050" DrawAspect="Content" ObjectID="_1331623413" r:id="rId61"/>
        </w:object>
      </w:r>
      <w:r>
        <w:rPr>
          <w:i/>
        </w:rPr>
        <w:sym w:font="Symbol" w:char="F02D"/>
      </w:r>
      <w:r w:rsidRPr="007A4573">
        <w:rPr>
          <w:i/>
          <w:position w:val="-12"/>
        </w:rPr>
        <w:object w:dxaOrig="440" w:dyaOrig="380">
          <v:shape id="_x0000_i1051" type="#_x0000_t75" style="width:22.05pt;height:18.8pt" o:ole="">
            <v:imagedata r:id="rId59" o:title=""/>
          </v:shape>
          <o:OLEObject Type="Embed" ProgID="Equation.3" ShapeID="_x0000_i1051" DrawAspect="Content" ObjectID="_1331623414" r:id="rId62"/>
        </w:object>
      </w:r>
      <w:r>
        <w:rPr>
          <w:i/>
        </w:rPr>
        <w:t xml:space="preserve"> unsecured creditors pool by offering unsecured debt with proceeds </w:t>
      </w:r>
      <w:r w:rsidRPr="007A4573">
        <w:rPr>
          <w:i/>
          <w:position w:val="-12"/>
        </w:rPr>
        <w:object w:dxaOrig="440" w:dyaOrig="380">
          <v:shape id="_x0000_i1052" type="#_x0000_t75" style="width:22.05pt;height:18.8pt" o:ole="">
            <v:imagedata r:id="rId63" o:title=""/>
          </v:shape>
          <o:OLEObject Type="Embed" ProgID="Equation.3" ShapeID="_x0000_i1052" DrawAspect="Content" ObjectID="_1331623415" r:id="rId64"/>
        </w:object>
      </w:r>
      <w:r>
        <w:rPr>
          <w:i/>
        </w:rPr>
        <w:t xml:space="preserve"> with no equity issuance requirement.</w:t>
      </w:r>
      <w:proofErr w:type="gramEnd"/>
      <w:r>
        <w:rPr>
          <w:i/>
        </w:rPr>
        <w:t xml:space="preserve"> </w:t>
      </w:r>
    </w:p>
    <w:p w:rsidR="00FF5A6E" w:rsidRDefault="00FF5A6E" w:rsidP="00D060DD">
      <w:pPr>
        <w:jc w:val="both"/>
        <w:rPr>
          <w:i/>
        </w:rPr>
      </w:pPr>
    </w:p>
    <w:p w:rsidR="00FF5A6E" w:rsidRPr="00B8654F" w:rsidRDefault="00FF5A6E" w:rsidP="00D060DD">
      <w:pPr>
        <w:jc w:val="both"/>
        <w:rPr>
          <w:i/>
        </w:rPr>
      </w:pPr>
      <w:r>
        <w:rPr>
          <w:b/>
          <w:i/>
          <w:u w:val="single"/>
        </w:rPr>
        <w:t>Proof</w:t>
      </w:r>
      <w:r>
        <w:rPr>
          <w:b/>
          <w:i/>
        </w:rPr>
        <w:t xml:space="preserve">: </w:t>
      </w:r>
      <w:r>
        <w:rPr>
          <w:i/>
        </w:rPr>
        <w:t>See Appendix A.</w:t>
      </w:r>
    </w:p>
    <w:p w:rsidR="00FF5A6E" w:rsidRDefault="00FF5A6E" w:rsidP="00D060DD">
      <w:pPr>
        <w:jc w:val="both"/>
      </w:pPr>
    </w:p>
    <w:p w:rsidR="00FF5A6E" w:rsidRDefault="00FF5A6E" w:rsidP="00D060DD">
      <w:pPr>
        <w:jc w:val="both"/>
      </w:pPr>
    </w:p>
    <w:p w:rsidR="00FF5A6E" w:rsidRDefault="00FF5A6E" w:rsidP="00D060DD">
      <w:pPr>
        <w:spacing w:line="480" w:lineRule="auto"/>
        <w:ind w:firstLine="720"/>
        <w:jc w:val="both"/>
      </w:pPr>
      <w:r>
        <w:lastRenderedPageBreak/>
        <w:t xml:space="preserve">The pooling outcome is of course less interesting to us, as we do not believe it describes how credit markets actually function, so going forward we assume that </w:t>
      </w:r>
      <w:r>
        <w:rPr>
          <w:i/>
        </w:rPr>
        <w:sym w:font="Symbol" w:char="F067"/>
      </w:r>
      <w:r>
        <w:rPr>
          <w:i/>
          <w:vertAlign w:val="subscript"/>
        </w:rPr>
        <w:t>E</w:t>
      </w:r>
      <w:r>
        <w:rPr>
          <w:i/>
        </w:rPr>
        <w:t>&lt;</w:t>
      </w:r>
      <w:r w:rsidRPr="007A4573">
        <w:rPr>
          <w:i/>
          <w:position w:val="-12"/>
        </w:rPr>
        <w:object w:dxaOrig="440" w:dyaOrig="380">
          <v:shape id="_x0000_i1053" type="#_x0000_t75" style="width:22.05pt;height:18.8pt" o:ole="">
            <v:imagedata r:id="rId56" o:title=""/>
          </v:shape>
          <o:OLEObject Type="Embed" ProgID="Equation.3" ShapeID="_x0000_i1053" DrawAspect="Content" ObjectID="_1331623416" r:id="rId65"/>
        </w:object>
      </w:r>
      <w:r>
        <w:rPr>
          <w:i/>
        </w:rPr>
        <w:sym w:font="Symbol" w:char="F02D"/>
      </w:r>
      <w:r w:rsidRPr="007A4573">
        <w:rPr>
          <w:i/>
          <w:position w:val="-12"/>
        </w:rPr>
        <w:object w:dxaOrig="440" w:dyaOrig="380">
          <v:shape id="_x0000_i1054" type="#_x0000_t75" style="width:22.05pt;height:18.8pt" o:ole="">
            <v:imagedata r:id="rId59" o:title=""/>
          </v:shape>
          <o:OLEObject Type="Embed" ProgID="Equation.3" ShapeID="_x0000_i1054" DrawAspect="Content" ObjectID="_1331623417" r:id="rId66"/>
        </w:object>
      </w:r>
      <w:r>
        <w:rPr>
          <w:i/>
        </w:rPr>
        <w:t xml:space="preserve"> </w:t>
      </w:r>
      <w:r>
        <w:t xml:space="preserve">so that separation through equity issuance is a feasible screening mechanism. </w:t>
      </w:r>
    </w:p>
    <w:p w:rsidR="00FF5A6E" w:rsidRDefault="00FF5A6E" w:rsidP="00D060DD">
      <w:pPr>
        <w:spacing w:line="480" w:lineRule="auto"/>
        <w:ind w:firstLine="720"/>
        <w:jc w:val="both"/>
      </w:pPr>
      <w:r>
        <w:t xml:space="preserve">Now, suppose that equity as a state-contingent claim has the defining characteristic of paying off to unsecured creditors in joint High-Low states. This implies that issuing equity creates no risk to the </w:t>
      </w:r>
      <w:r>
        <w:rPr>
          <w:i/>
        </w:rPr>
        <w:t>G-</w:t>
      </w:r>
      <w:r>
        <w:t xml:space="preserve">quality firm, since there is sufficient collateral value in those states to fully repay unsecured creditors. In contrast, issuing such a claim does create risk for the </w:t>
      </w:r>
      <w:r>
        <w:rPr>
          <w:i/>
        </w:rPr>
        <w:t>B</w:t>
      </w:r>
      <w:r>
        <w:t>-quality firm, since existing collateral is insufficient to fund full debt repayment in those states.</w:t>
      </w:r>
    </w:p>
    <w:p w:rsidR="00FF5A6E" w:rsidRDefault="00FF5A6E" w:rsidP="00D060DD">
      <w:pPr>
        <w:spacing w:line="480" w:lineRule="auto"/>
        <w:ind w:firstLine="720"/>
        <w:jc w:val="both"/>
      </w:pPr>
      <w:r>
        <w:t xml:space="preserve">More specifically, for the </w:t>
      </w:r>
      <w:r>
        <w:rPr>
          <w:i/>
        </w:rPr>
        <w:t>B-</w:t>
      </w:r>
      <w:r>
        <w:t xml:space="preserve">quality firm there is a 0.5 cost of issuing equity for each unit of insurance provided to unsecured creditors. </w:t>
      </w:r>
      <w:r>
        <w:rPr>
          <w:i/>
        </w:rPr>
        <w:t>B-</w:t>
      </w:r>
      <w:r>
        <w:t xml:space="preserve">quality firms are willing to internalize this cost, in addition to the fixed cost of equity issuance, as long as the benefits to pooling exceed the associated costs. That is, the moderate </w:t>
      </w:r>
      <w:r>
        <w:rPr>
          <w:i/>
        </w:rPr>
        <w:t>B-</w:t>
      </w:r>
      <w:r>
        <w:t xml:space="preserve">quality firm will issue equity as long as </w:t>
      </w:r>
      <w:r w:rsidRPr="007A4573">
        <w:rPr>
          <w:i/>
          <w:position w:val="-12"/>
        </w:rPr>
        <w:object w:dxaOrig="440" w:dyaOrig="380">
          <v:shape id="_x0000_i1055" type="#_x0000_t75" style="width:22.05pt;height:18.8pt" o:ole="">
            <v:imagedata r:id="rId67" o:title=""/>
          </v:shape>
          <o:OLEObject Type="Embed" ProgID="Equation.3" ShapeID="_x0000_i1055" DrawAspect="Content" ObjectID="_1331623418" r:id="rId68"/>
        </w:object>
      </w:r>
      <w:r>
        <w:rPr>
          <w:i/>
        </w:rPr>
        <w:sym w:font="Symbol" w:char="F02D"/>
      </w:r>
      <w:r w:rsidRPr="007A4573">
        <w:rPr>
          <w:i/>
          <w:position w:val="-12"/>
        </w:rPr>
        <w:object w:dxaOrig="440" w:dyaOrig="380">
          <v:shape id="_x0000_i1056" type="#_x0000_t75" style="width:22.05pt;height:18.8pt" o:ole="">
            <v:imagedata r:id="rId69" o:title=""/>
          </v:shape>
          <o:OLEObject Type="Embed" ProgID="Equation.3" ShapeID="_x0000_i1056" DrawAspect="Content" ObjectID="_1331623419" r:id="rId70"/>
        </w:object>
      </w:r>
      <w:r>
        <w:rPr>
          <w:i/>
        </w:rPr>
        <w:sym w:font="Symbol" w:char="F02D"/>
      </w:r>
      <w:r>
        <w:rPr>
          <w:i/>
        </w:rPr>
        <w:sym w:font="Symbol" w:char="F067"/>
      </w:r>
      <w:r>
        <w:rPr>
          <w:i/>
          <w:vertAlign w:val="subscript"/>
        </w:rPr>
        <w:t>E</w:t>
      </w:r>
      <w:r>
        <w:rPr>
          <w:i/>
        </w:rPr>
        <w:t>≥</w:t>
      </w:r>
      <w:r>
        <w:t>.5</w:t>
      </w:r>
      <w:r>
        <w:rPr>
          <w:i/>
        </w:rPr>
        <w:t>E</w:t>
      </w:r>
      <w:r>
        <w:t xml:space="preserve">, where </w:t>
      </w:r>
      <w:r w:rsidRPr="007A4573">
        <w:rPr>
          <w:i/>
          <w:position w:val="-12"/>
        </w:rPr>
        <w:object w:dxaOrig="440" w:dyaOrig="380">
          <v:shape id="_x0000_i1057" type="#_x0000_t75" style="width:22.05pt;height:18.8pt" o:ole="">
            <v:imagedata r:id="rId69" o:title=""/>
          </v:shape>
          <o:OLEObject Type="Embed" ProgID="Equation.3" ShapeID="_x0000_i1057" DrawAspect="Content" ObjectID="_1331623420" r:id="rId71"/>
        </w:object>
      </w:r>
      <w:r>
        <w:rPr>
          <w:i/>
        </w:rPr>
        <w:t xml:space="preserve"> </w:t>
      </w:r>
      <w:r>
        <w:t xml:space="preserve">is proceeds from an unsecured debt issuance by a moderate </w:t>
      </w:r>
      <w:r>
        <w:rPr>
          <w:i/>
        </w:rPr>
        <w:t>B-</w:t>
      </w:r>
      <w:r>
        <w:t xml:space="preserve">quality firm and </w:t>
      </w:r>
      <w:r>
        <w:rPr>
          <w:i/>
        </w:rPr>
        <w:t xml:space="preserve">E </w:t>
      </w:r>
      <w:r>
        <w:t xml:space="preserve">denotes the face value of equity that pays off </w:t>
      </w:r>
      <w:r>
        <w:rPr>
          <w:i/>
        </w:rPr>
        <w:t xml:space="preserve">E </w:t>
      </w:r>
      <w:r>
        <w:t xml:space="preserve">units to unsecured creditors in a joint High-Low state. In comparison, the low </w:t>
      </w:r>
      <w:r>
        <w:rPr>
          <w:i/>
        </w:rPr>
        <w:t>B-</w:t>
      </w:r>
      <w:r>
        <w:t xml:space="preserve">quality firm will issue equity as long as </w:t>
      </w:r>
      <w:r w:rsidRPr="007A4573">
        <w:rPr>
          <w:i/>
          <w:position w:val="-12"/>
        </w:rPr>
        <w:object w:dxaOrig="440" w:dyaOrig="380">
          <v:shape id="_x0000_i1058" type="#_x0000_t75" style="width:22.05pt;height:18.8pt" o:ole="">
            <v:imagedata r:id="rId67" o:title=""/>
          </v:shape>
          <o:OLEObject Type="Embed" ProgID="Equation.3" ShapeID="_x0000_i1058" DrawAspect="Content" ObjectID="_1331623421" r:id="rId72"/>
        </w:object>
      </w:r>
      <w:r>
        <w:rPr>
          <w:i/>
        </w:rPr>
        <w:sym w:font="Symbol" w:char="F02D"/>
      </w:r>
      <w:r w:rsidRPr="00AC6250">
        <w:rPr>
          <w:i/>
          <w:position w:val="-12"/>
        </w:rPr>
        <w:object w:dxaOrig="300" w:dyaOrig="360">
          <v:shape id="_x0000_i1059" type="#_x0000_t75" style="width:15.05pt;height:18.25pt" o:ole="">
            <v:imagedata r:id="rId73" o:title=""/>
          </v:shape>
          <o:OLEObject Type="Embed" ProgID="Equation.3" ShapeID="_x0000_i1059" DrawAspect="Content" ObjectID="_1331623422" r:id="rId74"/>
        </w:object>
      </w:r>
      <w:r>
        <w:rPr>
          <w:i/>
        </w:rPr>
        <w:sym w:font="Symbol" w:char="F02D"/>
      </w:r>
      <w:r>
        <w:rPr>
          <w:i/>
        </w:rPr>
        <w:sym w:font="Symbol" w:char="F067"/>
      </w:r>
      <w:r>
        <w:rPr>
          <w:i/>
          <w:vertAlign w:val="subscript"/>
        </w:rPr>
        <w:t>E</w:t>
      </w:r>
      <w:r>
        <w:rPr>
          <w:i/>
        </w:rPr>
        <w:t>≥</w:t>
      </w:r>
      <w:r>
        <w:t>.5</w:t>
      </w:r>
      <w:r>
        <w:rPr>
          <w:i/>
        </w:rPr>
        <w:t>E</w:t>
      </w:r>
      <w:r>
        <w:t xml:space="preserve">, where we recall that </w:t>
      </w:r>
      <w:r>
        <w:rPr>
          <w:i/>
        </w:rPr>
        <w:t>B</w:t>
      </w:r>
      <w:r>
        <w:rPr>
          <w:i/>
          <w:vertAlign w:val="subscript"/>
        </w:rPr>
        <w:t>u</w:t>
      </w:r>
      <w:r>
        <w:rPr>
          <w:i/>
        </w:rPr>
        <w:t xml:space="preserve"> </w:t>
      </w:r>
      <w:r>
        <w:t xml:space="preserve">denotes issuance proceeds from secured debt. To make things interesting assume that the left-hand side of each of the previous two inequalities is positive, implying that a non-trivial amount of equity must be issued by </w:t>
      </w:r>
      <w:r>
        <w:rPr>
          <w:i/>
        </w:rPr>
        <w:t>G-</w:t>
      </w:r>
      <w:r>
        <w:t>quality firms to induce separation.</w:t>
      </w:r>
    </w:p>
    <w:p w:rsidR="00FF5A6E" w:rsidRDefault="00FF5A6E" w:rsidP="00D060DD">
      <w:pPr>
        <w:spacing w:line="480" w:lineRule="auto"/>
        <w:ind w:firstLine="720"/>
        <w:jc w:val="both"/>
      </w:pPr>
      <w:r>
        <w:t xml:space="preserve">We are finally in a position to state the major result in this section. </w:t>
      </w:r>
    </w:p>
    <w:p w:rsidR="00FF5A6E" w:rsidRDefault="00FF5A6E" w:rsidP="00D060DD">
      <w:pPr>
        <w:jc w:val="both"/>
      </w:pPr>
    </w:p>
    <w:p w:rsidR="00FF5A6E" w:rsidRDefault="00FF5A6E" w:rsidP="00D060DD">
      <w:pPr>
        <w:jc w:val="both"/>
        <w:rPr>
          <w:i/>
        </w:rPr>
      </w:pPr>
      <w:r>
        <w:rPr>
          <w:b/>
          <w:i/>
          <w:u w:val="single"/>
        </w:rPr>
        <w:t>Proposition 2</w:t>
      </w:r>
      <w:r>
        <w:rPr>
          <w:b/>
          <w:i/>
        </w:rPr>
        <w:t xml:space="preserve">: </w:t>
      </w:r>
      <w:r>
        <w:rPr>
          <w:i/>
        </w:rPr>
        <w:t xml:space="preserve">Assume that fixed equity issuance costs are sufficiently low so that the </w:t>
      </w:r>
      <w:r>
        <w:t xml:space="preserve">G- </w:t>
      </w:r>
      <w:r>
        <w:rPr>
          <w:i/>
        </w:rPr>
        <w:t xml:space="preserve">and </w:t>
      </w:r>
      <w:r>
        <w:t>B-</w:t>
      </w:r>
      <w:r>
        <w:rPr>
          <w:i/>
        </w:rPr>
        <w:t xml:space="preserve">quality firms have incentives to issue equity. For the </w:t>
      </w:r>
      <w:r>
        <w:t>G-</w:t>
      </w:r>
      <w:r>
        <w:rPr>
          <w:i/>
        </w:rPr>
        <w:t xml:space="preserve">quality firm to separate itself from the moderate </w:t>
      </w:r>
      <w:r>
        <w:t>B-</w:t>
      </w:r>
      <w:r>
        <w:rPr>
          <w:i/>
        </w:rPr>
        <w:t xml:space="preserve">quality firm, it finances investment in </w:t>
      </w:r>
      <w:r>
        <w:t xml:space="preserve">u </w:t>
      </w:r>
      <w:r>
        <w:rPr>
          <w:i/>
        </w:rPr>
        <w:t xml:space="preserve">with unsecured debt and issues equity shares </w:t>
      </w:r>
      <w:r>
        <w:rPr>
          <w:i/>
        </w:rPr>
        <w:lastRenderedPageBreak/>
        <w:t>that exceed 2[</w:t>
      </w:r>
      <w:r w:rsidRPr="007A4573">
        <w:rPr>
          <w:i/>
          <w:position w:val="-12"/>
        </w:rPr>
        <w:object w:dxaOrig="440" w:dyaOrig="380">
          <v:shape id="_x0000_i1060" type="#_x0000_t75" style="width:22.05pt;height:18.8pt" o:ole="">
            <v:imagedata r:id="rId67" o:title=""/>
          </v:shape>
          <o:OLEObject Type="Embed" ProgID="Equation.3" ShapeID="_x0000_i1060" DrawAspect="Content" ObjectID="_1331623423" r:id="rId75"/>
        </w:object>
      </w:r>
      <w:r>
        <w:rPr>
          <w:i/>
        </w:rPr>
        <w:sym w:font="Symbol" w:char="F02D"/>
      </w:r>
      <w:r w:rsidRPr="007A4573">
        <w:rPr>
          <w:i/>
          <w:position w:val="-12"/>
        </w:rPr>
        <w:object w:dxaOrig="440" w:dyaOrig="380">
          <v:shape id="_x0000_i1061" type="#_x0000_t75" style="width:22.05pt;height:18.8pt" o:ole="">
            <v:imagedata r:id="rId69" o:title=""/>
          </v:shape>
          <o:OLEObject Type="Embed" ProgID="Equation.3" ShapeID="_x0000_i1061" DrawAspect="Content" ObjectID="_1331623424" r:id="rId76"/>
        </w:object>
      </w:r>
      <w:r>
        <w:rPr>
          <w:i/>
        </w:rPr>
        <w:sym w:font="Symbol" w:char="F02D"/>
      </w:r>
      <w:r>
        <w:rPr>
          <w:i/>
        </w:rPr>
        <w:sym w:font="Symbol" w:char="F067"/>
      </w:r>
      <w:r>
        <w:rPr>
          <w:i/>
          <w:vertAlign w:val="subscript"/>
        </w:rPr>
        <w:t>E</w:t>
      </w:r>
      <w:r>
        <w:rPr>
          <w:i/>
        </w:rPr>
        <w:t xml:space="preserve">]. For the </w:t>
      </w:r>
      <w:r>
        <w:t>G-</w:t>
      </w:r>
      <w:r>
        <w:rPr>
          <w:i/>
        </w:rPr>
        <w:t xml:space="preserve">quality firm to separate itself from the low </w:t>
      </w:r>
      <w:r>
        <w:t>B-</w:t>
      </w:r>
      <w:r>
        <w:rPr>
          <w:i/>
        </w:rPr>
        <w:t>quality firm, it issues unsecured debt and more than 2[</w:t>
      </w:r>
      <w:r w:rsidRPr="007A4573">
        <w:rPr>
          <w:i/>
          <w:position w:val="-12"/>
        </w:rPr>
        <w:object w:dxaOrig="440" w:dyaOrig="380">
          <v:shape id="_x0000_i1062" type="#_x0000_t75" style="width:22.05pt;height:18.8pt" o:ole="">
            <v:imagedata r:id="rId67" o:title=""/>
          </v:shape>
          <o:OLEObject Type="Embed" ProgID="Equation.3" ShapeID="_x0000_i1062" DrawAspect="Content" ObjectID="_1331623425" r:id="rId77"/>
        </w:object>
      </w:r>
      <w:r>
        <w:rPr>
          <w:i/>
        </w:rPr>
        <w:sym w:font="Symbol" w:char="F02D"/>
      </w:r>
      <w:r w:rsidRPr="001E19CF">
        <w:rPr>
          <w:i/>
          <w:position w:val="-12"/>
        </w:rPr>
        <w:object w:dxaOrig="300" w:dyaOrig="360">
          <v:shape id="_x0000_i1063" type="#_x0000_t75" style="width:15.05pt;height:18.25pt" o:ole="">
            <v:imagedata r:id="rId78" o:title=""/>
          </v:shape>
          <o:OLEObject Type="Embed" ProgID="Equation.3" ShapeID="_x0000_i1063" DrawAspect="Content" ObjectID="_1331623426" r:id="rId79"/>
        </w:object>
      </w:r>
      <w:r>
        <w:rPr>
          <w:i/>
        </w:rPr>
        <w:sym w:font="Symbol" w:char="F02D"/>
      </w:r>
      <w:r>
        <w:rPr>
          <w:i/>
        </w:rPr>
        <w:sym w:font="Symbol" w:char="F067"/>
      </w:r>
      <w:r>
        <w:rPr>
          <w:i/>
          <w:vertAlign w:val="subscript"/>
        </w:rPr>
        <w:t>E</w:t>
      </w:r>
      <w:r>
        <w:rPr>
          <w:i/>
        </w:rPr>
        <w:t xml:space="preserve">] equity shares. </w:t>
      </w:r>
    </w:p>
    <w:p w:rsidR="00FF5A6E" w:rsidRDefault="00FF5A6E" w:rsidP="00D060DD">
      <w:pPr>
        <w:jc w:val="both"/>
        <w:rPr>
          <w:i/>
        </w:rPr>
      </w:pPr>
    </w:p>
    <w:p w:rsidR="00FF5A6E" w:rsidRPr="001E19CF" w:rsidRDefault="00FF5A6E" w:rsidP="00D060DD">
      <w:pPr>
        <w:jc w:val="both"/>
        <w:rPr>
          <w:i/>
        </w:rPr>
      </w:pPr>
      <w:r>
        <w:rPr>
          <w:b/>
          <w:i/>
          <w:u w:val="single"/>
        </w:rPr>
        <w:t>Proof</w:t>
      </w:r>
      <w:r>
        <w:rPr>
          <w:b/>
          <w:i/>
        </w:rPr>
        <w:t xml:space="preserve">: </w:t>
      </w:r>
      <w:r>
        <w:rPr>
          <w:i/>
        </w:rPr>
        <w:t>See Appendix A.</w:t>
      </w:r>
    </w:p>
    <w:p w:rsidR="00FF5A6E" w:rsidRDefault="00FF5A6E" w:rsidP="00D060DD">
      <w:pPr>
        <w:jc w:val="both"/>
      </w:pPr>
    </w:p>
    <w:p w:rsidR="00FF5A6E" w:rsidRDefault="00FF5A6E" w:rsidP="00D060DD">
      <w:pPr>
        <w:jc w:val="both"/>
      </w:pPr>
    </w:p>
    <w:p w:rsidR="00FF5A6E" w:rsidRDefault="00FF5A6E" w:rsidP="00D060DD">
      <w:pPr>
        <w:spacing w:line="480" w:lineRule="auto"/>
        <w:ind w:firstLine="720"/>
        <w:jc w:val="both"/>
      </w:pPr>
      <w:r>
        <w:t xml:space="preserve">Thus, when equity issuance costs are sufficiently low, unsecured creditors can screen firms by requiring equity issuance in excess of the limits prescribed in Proposition 2. The </w:t>
      </w:r>
      <w:r>
        <w:rPr>
          <w:i/>
        </w:rPr>
        <w:t>G-</w:t>
      </w:r>
      <w:r>
        <w:t xml:space="preserve">quality firm will issue the equity. If equity issuance costs were variable instead of fixed (requiring only cosmetic changes in the model), the </w:t>
      </w:r>
      <w:r>
        <w:rPr>
          <w:i/>
        </w:rPr>
        <w:t>G</w:t>
      </w:r>
      <w:r>
        <w:t xml:space="preserve">-quality firm would issue no more shares than necessary, since equity issuance at the margin would be costly. In any case, the </w:t>
      </w:r>
      <w:r>
        <w:rPr>
          <w:i/>
        </w:rPr>
        <w:t>B-</w:t>
      </w:r>
      <w:r>
        <w:t xml:space="preserve">quality firm will not issue the required amount of equity, since the increasing marginal costs to equity issuance are such that the lower-risk firm is better off issuing unsecured debt and no equity while the higher-risk firm is better off issuing secured debt and no equity. </w:t>
      </w:r>
    </w:p>
    <w:p w:rsidR="00FF5A6E" w:rsidRDefault="00FF5A6E" w:rsidP="00D060DD">
      <w:pPr>
        <w:spacing w:line="480" w:lineRule="auto"/>
        <w:ind w:firstLine="720"/>
        <w:jc w:val="both"/>
      </w:pPr>
      <w:r>
        <w:t xml:space="preserve">The equilibrium outcome is fully revealing and incentive compatible. Moreover, as shown in corollary 1, participation constraints for </w:t>
      </w:r>
      <w:r>
        <w:rPr>
          <w:i/>
        </w:rPr>
        <w:t xml:space="preserve">w </w:t>
      </w:r>
      <w:r>
        <w:t>creditors are satisfied (should they exist) when unsecured debt issuance is optimal. This means that security issuance choice is incentive compatible as it relates to satisfying asset substitution concerns of existing debt holders.</w:t>
      </w:r>
      <w:r>
        <w:rPr>
          <w:rStyle w:val="FootnoteReference"/>
        </w:rPr>
        <w:footnoteReference w:id="4"/>
      </w:r>
      <w:r>
        <w:t xml:space="preserve"> </w:t>
      </w:r>
    </w:p>
    <w:p w:rsidR="00FF5A6E" w:rsidRDefault="00FF5A6E" w:rsidP="00D060DD">
      <w:pPr>
        <w:spacing w:line="480" w:lineRule="auto"/>
        <w:ind w:firstLine="720"/>
        <w:jc w:val="both"/>
      </w:pPr>
      <w:r>
        <w:t xml:space="preserve">To the extent that issuing equity is a screening mechanism but also introduces monitoring, one can characterize management of better quality firms as willing to commit themselves to increased market scrutiny in order separate themselves from lower quality firms and hence increase their market valuation. Since G-quality firms will default less both because of their inherent type and because of the equity cushion arising from screening, the cost of collateralization from suboptimal maintenance near distress should be insignificant. </w:t>
      </w:r>
    </w:p>
    <w:p w:rsidR="00FF5A6E" w:rsidRDefault="00FF5A6E" w:rsidP="00D060DD">
      <w:pPr>
        <w:spacing w:line="480" w:lineRule="auto"/>
        <w:ind w:firstLine="720"/>
        <w:jc w:val="both"/>
      </w:pPr>
      <w:r>
        <w:lastRenderedPageBreak/>
        <w:t xml:space="preserve">Although not present in the model, the event of liquidation must also determine the choice of debt. If the costs of liquidation increase with the number of different debt contracts and of debt holders, then only higher quality firms should be able to issue unsecured debt, which is harder to disentangle and renegotiate than secured debt. </w:t>
      </w:r>
    </w:p>
    <w:p w:rsidR="00FF5A6E" w:rsidRPr="00213183" w:rsidRDefault="00FF5A6E" w:rsidP="00D060DD">
      <w:pPr>
        <w:jc w:val="both"/>
      </w:pPr>
    </w:p>
    <w:p w:rsidR="00FF5A6E" w:rsidRDefault="00FF5A6E" w:rsidP="001C4AF1">
      <w:pPr>
        <w:rPr>
          <w:b/>
        </w:rPr>
      </w:pPr>
      <w:r>
        <w:rPr>
          <w:b/>
        </w:rPr>
        <w:t>II.B.  Empirical Implications</w:t>
      </w:r>
    </w:p>
    <w:p w:rsidR="00FF5A6E" w:rsidRDefault="00FF5A6E" w:rsidP="001C4AF1">
      <w:pPr>
        <w:rPr>
          <w:b/>
        </w:rPr>
      </w:pPr>
    </w:p>
    <w:p w:rsidR="00FF5A6E" w:rsidRDefault="00FF5A6E" w:rsidP="00D060DD">
      <w:pPr>
        <w:spacing w:line="480" w:lineRule="auto"/>
        <w:ind w:firstLine="720"/>
        <w:jc w:val="both"/>
      </w:pPr>
      <w:r>
        <w:t xml:space="preserve">The model generates a rich set of empirical implications that can be tested with data. First, a separating equilibrium implies that higher quality firms have latent value and debt capacity that is revealed as a result of a joint issuance choice-leverage financing decision. Creditors are able to identify higher quality firms’ type, which alleviates asset substitution concerns of existing debtholders. Latent value, as summarized by </w:t>
      </w:r>
      <w:r w:rsidRPr="009E60E7">
        <w:rPr>
          <w:i/>
        </w:rPr>
        <w:t>q</w:t>
      </w:r>
      <w:r>
        <w:t xml:space="preserve">, is caused by and is negatively associated with incremental increases in secured debt outstanding and overall leverage. </w:t>
      </w:r>
    </w:p>
    <w:p w:rsidR="00FF5A6E" w:rsidRDefault="00FF5A6E" w:rsidP="00D060DD">
      <w:pPr>
        <w:spacing w:line="480" w:lineRule="auto"/>
        <w:ind w:firstLine="720"/>
        <w:jc w:val="both"/>
      </w:pPr>
      <w:r>
        <w:t>Firms with liquid assets on their balance sheet have a commitment problem as it relates to facilitating new investment, as cash can easily be distributed to shareholders or otherwise diverted as a source of default insurance to creditors. Higher quality firms separate themselves from lower quality firms by maintaining lower total leverage, and thus higher levels of operating cash flow with which to service debt, to decrease credit risk. Thus, higher quality firms are predicted to have higher debt service coverage ratios. And to the extent that lower leverage and access to equity markets relaxes financial constraints, we would expect to observe higher rates of investment in the future by higher quality firms.</w:t>
      </w:r>
      <w:r>
        <w:rPr>
          <w:rStyle w:val="FootnoteReference"/>
        </w:rPr>
        <w:footnoteReference w:id="5"/>
      </w:r>
      <w:r>
        <w:t xml:space="preserve"> Finally, we would also expect to see a high incidence of equity issuances per unit of investment for the higher quality firms. </w:t>
      </w:r>
    </w:p>
    <w:p w:rsidR="00FF5A6E" w:rsidRPr="00732C65" w:rsidRDefault="00FF5A6E" w:rsidP="00D060DD">
      <w:pPr>
        <w:spacing w:line="480" w:lineRule="auto"/>
        <w:jc w:val="both"/>
      </w:pPr>
    </w:p>
    <w:p w:rsidR="00FF5A6E" w:rsidRPr="00A83A23" w:rsidRDefault="00FF5A6E" w:rsidP="00A83A23">
      <w:pPr>
        <w:spacing w:line="480" w:lineRule="auto"/>
        <w:rPr>
          <w:b/>
        </w:rPr>
      </w:pPr>
      <w:r>
        <w:rPr>
          <w:b/>
        </w:rPr>
        <w:t>III.</w:t>
      </w:r>
      <w:r>
        <w:rPr>
          <w:b/>
        </w:rPr>
        <w:tab/>
        <w:t>Data, Specification and Estimation Results</w:t>
      </w:r>
    </w:p>
    <w:p w:rsidR="00FF5A6E" w:rsidRDefault="00FF5A6E" w:rsidP="00A83A23">
      <w:pPr>
        <w:spacing w:line="480" w:lineRule="auto"/>
      </w:pPr>
      <w:r>
        <w:rPr>
          <w:b/>
        </w:rPr>
        <w:t>III.A.</w:t>
      </w:r>
      <w:r>
        <w:rPr>
          <w:b/>
        </w:rPr>
        <w:tab/>
        <w:t>Data</w:t>
      </w:r>
    </w:p>
    <w:p w:rsidR="00FF5A6E" w:rsidRPr="00241D9D" w:rsidRDefault="00FF5A6E" w:rsidP="00D060DD">
      <w:pPr>
        <w:spacing w:line="480" w:lineRule="auto"/>
        <w:ind w:firstLine="720"/>
        <w:jc w:val="both"/>
      </w:pPr>
      <w:r w:rsidRPr="00241D9D">
        <w:t xml:space="preserve">Our sample consists of </w:t>
      </w:r>
      <w:r>
        <w:t>R</w:t>
      </w:r>
      <w:r w:rsidRPr="00241D9D">
        <w:t xml:space="preserve">EITs </w:t>
      </w:r>
      <w:r>
        <w:t xml:space="preserve">identified </w:t>
      </w:r>
      <w:r w:rsidRPr="00241D9D">
        <w:t xml:space="preserve">from SNL Datasource for the years </w:t>
      </w:r>
      <w:r>
        <w:t>from</w:t>
      </w:r>
      <w:r w:rsidRPr="00241D9D">
        <w:t xml:space="preserve"> 1991 </w:t>
      </w:r>
      <w:r>
        <w:t>to</w:t>
      </w:r>
      <w:r w:rsidRPr="00241D9D">
        <w:t xml:space="preserve"> 2007. </w:t>
      </w:r>
      <w:r>
        <w:t xml:space="preserve">These firms tend to concentrate their asset holdings by a particular property type, and are classified as such by SNL. </w:t>
      </w:r>
      <w:r w:rsidRPr="00241D9D">
        <w:t>The sample includes residential, retail, office, and industrial REITs</w:t>
      </w:r>
      <w:r>
        <w:t>, which constitute the four major property type classifications</w:t>
      </w:r>
      <w:r w:rsidRPr="00241D9D">
        <w:t>.</w:t>
      </w:r>
      <w:r>
        <w:rPr>
          <w:rStyle w:val="FootnoteReference"/>
        </w:rPr>
        <w:footnoteReference w:id="6"/>
      </w:r>
      <w:r w:rsidRPr="00241D9D">
        <w:t xml:space="preserve"> We</w:t>
      </w:r>
      <w:r>
        <w:t xml:space="preserve"> include firms that report full-year earnings in a particular year within the sample period, and</w:t>
      </w:r>
      <w:r w:rsidRPr="00241D9D">
        <w:t xml:space="preserve"> exclude firm-years for which secured debt exceeds the amount of total debt outstanding</w:t>
      </w:r>
      <w:r>
        <w:t>, which we infer as a reporting mistake</w:t>
      </w:r>
      <w:r w:rsidRPr="00241D9D">
        <w:t xml:space="preserve">. </w:t>
      </w:r>
    </w:p>
    <w:p w:rsidR="00FF5A6E" w:rsidRDefault="00FF5A6E" w:rsidP="00D060DD">
      <w:pPr>
        <w:spacing w:line="480" w:lineRule="auto"/>
        <w:ind w:firstLine="720"/>
        <w:jc w:val="both"/>
      </w:pPr>
      <w:r>
        <w:t>T</w:t>
      </w:r>
      <w:r w:rsidR="00B01B7F">
        <w:t>able 5</w:t>
      </w:r>
      <w:r>
        <w:t xml:space="preserve"> reports summary statistics for </w:t>
      </w:r>
      <w:r w:rsidR="002175AB">
        <w:t xml:space="preserve">the </w:t>
      </w:r>
      <w:r>
        <w:t xml:space="preserve">variables used in </w:t>
      </w:r>
      <w:r w:rsidR="002175AB">
        <w:t xml:space="preserve">the </w:t>
      </w:r>
      <w:r>
        <w:t>estimation. As noted earlier, REITs are on average seen to operate at relatively high leverage ratios and to finance themselves with significant amounts of secured debt. In particular, the average REIT has about 50 percent debt in its capital structure as a percentage of market asset value, of which just less than two-thirds of the debt is secured. Further note the significant variation in these measures across firms as seen most clearly by the 25</w:t>
      </w:r>
      <w:r w:rsidRPr="00FD14CA">
        <w:rPr>
          <w:vertAlign w:val="superscript"/>
        </w:rPr>
        <w:t>th</w:t>
      </w:r>
      <w:r>
        <w:t xml:space="preserve"> and 75</w:t>
      </w:r>
      <w:r w:rsidRPr="00FD14CA">
        <w:rPr>
          <w:vertAlign w:val="superscript"/>
        </w:rPr>
        <w:t>th</w:t>
      </w:r>
      <w:r>
        <w:t xml:space="preserve"> percentile statistics.</w:t>
      </w:r>
    </w:p>
    <w:p w:rsidR="00FF5A6E" w:rsidRPr="00C04AFB" w:rsidRDefault="00FF5A6E" w:rsidP="00C04AFB">
      <w:pPr>
        <w:spacing w:line="480" w:lineRule="auto"/>
        <w:jc w:val="center"/>
        <w:rPr>
          <w:b/>
        </w:rPr>
      </w:pPr>
      <w:r>
        <w:rPr>
          <w:b/>
        </w:rPr>
        <w:t>T</w:t>
      </w:r>
      <w:r w:rsidR="00B01B7F">
        <w:rPr>
          <w:b/>
        </w:rPr>
        <w:t>able 5</w:t>
      </w:r>
      <w:r>
        <w:rPr>
          <w:b/>
        </w:rPr>
        <w:t xml:space="preserve"> Here</w:t>
      </w:r>
    </w:p>
    <w:p w:rsidR="00FF5A6E" w:rsidRDefault="00FF5A6E" w:rsidP="00D060DD">
      <w:pPr>
        <w:spacing w:line="480" w:lineRule="auto"/>
        <w:ind w:firstLine="720"/>
        <w:jc w:val="both"/>
      </w:pPr>
      <w:r>
        <w:t xml:space="preserve">Other profitability measures and control variables are as follows. </w:t>
      </w:r>
      <w:r w:rsidRPr="00241D9D">
        <w:rPr>
          <w:i/>
        </w:rPr>
        <w:t>EarningsChanges</w:t>
      </w:r>
      <w:r w:rsidRPr="00241D9D">
        <w:t xml:space="preserve"> is the ratio of next year earnings minus this year earnings </w:t>
      </w:r>
      <w:r>
        <w:t>to this year common book equity;</w:t>
      </w:r>
      <w:r w:rsidRPr="00241D9D">
        <w:t xml:space="preserve"> </w:t>
      </w:r>
      <w:r w:rsidRPr="00241D9D">
        <w:rPr>
          <w:i/>
        </w:rPr>
        <w:t>Size</w:t>
      </w:r>
      <w:r w:rsidRPr="00241D9D">
        <w:t xml:space="preserve"> is book value of total assets (measured in billions of 2006 dollars using the Producer Price Index (PPI) published by the U.S. Depar</w:t>
      </w:r>
      <w:r>
        <w:t>tment of Labor as the deflator);</w:t>
      </w:r>
      <w:r w:rsidRPr="00241D9D">
        <w:t xml:space="preserve"> </w:t>
      </w:r>
      <w:r w:rsidRPr="00241D9D">
        <w:rPr>
          <w:i/>
        </w:rPr>
        <w:t>Profitability</w:t>
      </w:r>
      <w:r w:rsidRPr="00241D9D">
        <w:t xml:space="preserve"> is the ratio of earnings before interest, taxes, depreciation, and amortization to the book value of total assets</w:t>
      </w:r>
      <w:r>
        <w:t>;</w:t>
      </w:r>
      <w:r w:rsidRPr="00241D9D">
        <w:t xml:space="preserve"> </w:t>
      </w:r>
      <w:r w:rsidRPr="00241D9D">
        <w:rPr>
          <w:i/>
        </w:rPr>
        <w:t>EarningsVolatility</w:t>
      </w:r>
      <w:r w:rsidRPr="00241D9D">
        <w:t xml:space="preserve"> is the ratio of the standard deviation of earnings before interest, taxes, </w:t>
      </w:r>
      <w:r w:rsidRPr="00241D9D">
        <w:lastRenderedPageBreak/>
        <w:t>depreciation and amortization using up to five years of consecutive observations to the average book value of total assets estimated over the same time horizon</w:t>
      </w:r>
      <w:r>
        <w:t>;</w:t>
      </w:r>
      <w:r w:rsidRPr="00241D9D">
        <w:t xml:space="preserve"> </w:t>
      </w:r>
      <w:r w:rsidRPr="00241D9D">
        <w:rPr>
          <w:i/>
        </w:rPr>
        <w:t>Age</w:t>
      </w:r>
      <w:r w:rsidRPr="00241D9D">
        <w:t xml:space="preserve"> is the num</w:t>
      </w:r>
      <w:r>
        <w:t>ber of years since the IPO year measured as of the end of the sample period in 2007.</w:t>
      </w:r>
    </w:p>
    <w:p w:rsidR="00FF5A6E" w:rsidRDefault="00FF5A6E" w:rsidP="00D060DD">
      <w:pPr>
        <w:spacing w:line="480" w:lineRule="auto"/>
        <w:ind w:firstLine="720"/>
        <w:jc w:val="both"/>
      </w:pPr>
      <w:r>
        <w:t xml:space="preserve">As implied by our theory, we are particularly curious about how </w:t>
      </w:r>
      <w:r w:rsidRPr="00241D9D">
        <w:t xml:space="preserve">Tobin’s </w:t>
      </w:r>
      <w:r>
        <w:rPr>
          <w:i/>
        </w:rPr>
        <w:t>q</w:t>
      </w:r>
      <w:r>
        <w:t xml:space="preserve"> varies as a function of changes in capital structure.</w:t>
      </w:r>
      <w:r w:rsidRPr="00241D9D">
        <w:t xml:space="preserve"> Following the literature,</w:t>
      </w:r>
      <w:r w:rsidRPr="00241D9D">
        <w:rPr>
          <w:i/>
        </w:rPr>
        <w:t xml:space="preserve"> </w:t>
      </w:r>
      <w:r>
        <w:rPr>
          <w:i/>
        </w:rPr>
        <w:t>q</w:t>
      </w:r>
      <w:r w:rsidRPr="00241D9D">
        <w:t xml:space="preserve"> is the ratio of market value of total assets to book value of total assets.</w:t>
      </w:r>
      <w:r>
        <w:t xml:space="preserve"> As discussed by Gentry and Mayer (2008), Hartzell, Sun and Titman (2006) and Riddiough and Wu (2009), REIT </w:t>
      </w:r>
      <w:r>
        <w:rPr>
          <w:i/>
        </w:rPr>
        <w:t xml:space="preserve">q </w:t>
      </w:r>
      <w:r>
        <w:t xml:space="preserve">values are believed to provide more accurate and less noisy measures of marginal </w:t>
      </w:r>
      <w:r>
        <w:rPr>
          <w:i/>
        </w:rPr>
        <w:t xml:space="preserve">q </w:t>
      </w:r>
      <w:r>
        <w:t>than can generally be obtained with Compustat industrial data (see also Erickson and Whited (2000)).</w:t>
      </w:r>
    </w:p>
    <w:p w:rsidR="00FF5A6E" w:rsidRDefault="00FF5A6E" w:rsidP="00D060DD">
      <w:pPr>
        <w:spacing w:line="480" w:lineRule="auto"/>
        <w:ind w:firstLine="720"/>
        <w:jc w:val="both"/>
      </w:pPr>
      <w:r>
        <w:t xml:space="preserve">We would like to identify a single variable that jointly measures (1) the secured-unsecured debt choice and (2) total leverage decision. The measure we employ is </w:t>
      </w:r>
      <w:r w:rsidRPr="00241D9D">
        <w:rPr>
          <w:i/>
        </w:rPr>
        <w:t>SecuredMarket</w:t>
      </w:r>
      <w:r>
        <w:rPr>
          <w:i/>
        </w:rPr>
        <w:t xml:space="preserve"> </w:t>
      </w:r>
      <w:r>
        <w:t>(</w:t>
      </w:r>
      <w:r>
        <w:rPr>
          <w:i/>
        </w:rPr>
        <w:t>SecuredBook</w:t>
      </w:r>
      <w:r>
        <w:t>)</w:t>
      </w:r>
      <w:r>
        <w:rPr>
          <w:i/>
        </w:rPr>
        <w:t>Leverage</w:t>
      </w:r>
      <w:r>
        <w:t>, which is</w:t>
      </w:r>
      <w:r>
        <w:rPr>
          <w:i/>
        </w:rPr>
        <w:t xml:space="preserve"> </w:t>
      </w:r>
      <w:r>
        <w:t>the</w:t>
      </w:r>
      <w:r w:rsidRPr="00241D9D">
        <w:t xml:space="preserve"> ratio of secured plus mezzanine debt</w:t>
      </w:r>
      <w:r>
        <w:t xml:space="preserve"> </w:t>
      </w:r>
      <w:r w:rsidRPr="00241D9D">
        <w:t xml:space="preserve">to the market </w:t>
      </w:r>
      <w:r>
        <w:t xml:space="preserve">(book) </w:t>
      </w:r>
      <w:r w:rsidRPr="00241D9D">
        <w:t>value of total assets.</w:t>
      </w:r>
      <w:r>
        <w:t xml:space="preserve"> This measure is a composite of</w:t>
      </w:r>
      <w:r w:rsidRPr="00241D9D">
        <w:t xml:space="preserve"> </w:t>
      </w:r>
      <w:r w:rsidRPr="00241D9D">
        <w:rPr>
          <w:i/>
        </w:rPr>
        <w:t>SecuredDebt</w:t>
      </w:r>
      <w:r>
        <w:t xml:space="preserve">, </w:t>
      </w:r>
      <w:r w:rsidRPr="00241D9D">
        <w:t>the ratio of secured plus mezzanine debt to total liabilities plus mezzanine debt</w:t>
      </w:r>
      <w:r>
        <w:t xml:space="preserve">, and </w:t>
      </w:r>
      <w:r w:rsidRPr="00241D9D">
        <w:rPr>
          <w:i/>
        </w:rPr>
        <w:t>Market</w:t>
      </w:r>
      <w:r>
        <w:rPr>
          <w:i/>
        </w:rPr>
        <w:t xml:space="preserve"> </w:t>
      </w:r>
      <w:r>
        <w:t>(</w:t>
      </w:r>
      <w:r>
        <w:rPr>
          <w:i/>
        </w:rPr>
        <w:t>Book</w:t>
      </w:r>
      <w:r>
        <w:t>)</w:t>
      </w:r>
      <w:r w:rsidRPr="00241D9D">
        <w:rPr>
          <w:i/>
        </w:rPr>
        <w:t>Leverage</w:t>
      </w:r>
      <w:r>
        <w:t>, t</w:t>
      </w:r>
      <w:r w:rsidRPr="00241D9D">
        <w:t xml:space="preserve">he ratio of total liabilities plus mezzanine debt to the market </w:t>
      </w:r>
      <w:r>
        <w:t xml:space="preserve">(book) value of total assets. Thus, in the context of our theory, this measure is hypothesized to be strictly decreasing in </w:t>
      </w:r>
      <w:r>
        <w:rPr>
          <w:i/>
        </w:rPr>
        <w:t>q</w:t>
      </w:r>
      <w:r>
        <w:t xml:space="preserve"> as it reveals the quality characteristics of the firm.</w:t>
      </w:r>
    </w:p>
    <w:p w:rsidR="00FF5A6E" w:rsidRDefault="00FF5A6E" w:rsidP="00D060DD">
      <w:pPr>
        <w:spacing w:line="480" w:lineRule="auto"/>
        <w:jc w:val="both"/>
      </w:pPr>
      <w:r>
        <w:tab/>
        <w:t>T</w:t>
      </w:r>
      <w:r w:rsidR="00B01B7F">
        <w:t>able 6</w:t>
      </w:r>
      <w:r>
        <w:t xml:space="preserve"> displays pair-wise correlation coefficient estimates between and among secured debt and leverage ratio measures, as well as how these measures correlate with </w:t>
      </w:r>
      <w:r>
        <w:rPr>
          <w:i/>
        </w:rPr>
        <w:t>q</w:t>
      </w:r>
      <w:r>
        <w:t xml:space="preserve">. All debt ratio measures correlate negatively with </w:t>
      </w:r>
      <w:r>
        <w:rPr>
          <w:i/>
        </w:rPr>
        <w:t>q</w:t>
      </w:r>
      <w:r>
        <w:t xml:space="preserve">, with the exception of total book leverage. Our model suggests that the relevant measures are based on market values, but we are cognizant of concerns regarding co-movement in </w:t>
      </w:r>
      <w:r>
        <w:rPr>
          <w:i/>
        </w:rPr>
        <w:t xml:space="preserve">q </w:t>
      </w:r>
      <w:r>
        <w:t xml:space="preserve">and market leverage due to use of contemporaneous stock price in both measures. Observe the negative and significant correlations between secured leverage </w:t>
      </w:r>
      <w:r>
        <w:lastRenderedPageBreak/>
        <w:t xml:space="preserve">(market and book) and </w:t>
      </w:r>
      <w:r>
        <w:rPr>
          <w:i/>
        </w:rPr>
        <w:t>q</w:t>
      </w:r>
      <w:r>
        <w:t>, where secured leverage is our measure of the joint secured-unsecured debt choice and leverage decision. Also note the significant positive correlations between the secured debt-to-total debt ratio and total leverage, implying that firms which employ secured debt relative to unsecured debt also employ greater overall leverage.</w:t>
      </w:r>
    </w:p>
    <w:p w:rsidR="00FF5A6E" w:rsidRPr="00C04AFB" w:rsidRDefault="00FF5A6E" w:rsidP="00D060DD">
      <w:pPr>
        <w:spacing w:line="480" w:lineRule="auto"/>
        <w:jc w:val="center"/>
        <w:rPr>
          <w:b/>
        </w:rPr>
      </w:pPr>
      <w:r>
        <w:rPr>
          <w:b/>
        </w:rPr>
        <w:t>T</w:t>
      </w:r>
      <w:r w:rsidR="00B01B7F">
        <w:rPr>
          <w:b/>
        </w:rPr>
        <w:t>able 6</w:t>
      </w:r>
      <w:r>
        <w:rPr>
          <w:b/>
        </w:rPr>
        <w:t xml:space="preserve"> Here</w:t>
      </w:r>
    </w:p>
    <w:p w:rsidR="00FF5A6E" w:rsidRDefault="00FF5A6E" w:rsidP="00D060DD">
      <w:pPr>
        <w:spacing w:line="480" w:lineRule="auto"/>
        <w:jc w:val="both"/>
      </w:pPr>
      <w:r>
        <w:tab/>
        <w:t>T</w:t>
      </w:r>
      <w:r w:rsidR="00B01B7F">
        <w:t>able 7</w:t>
      </w:r>
      <w:r>
        <w:t xml:space="preserve"> shows the components of secured and unsecured debt given the available data. Secured debt is composed of first mortgages, mezzanine debt (which are junior mortgages that are issued together with a first mortgage) and secured bank lines of credit. We can see that first mortgages are by far the largest category of secured debt, but also that mezzanine debt contributes significantly to the total capital structure of REITs. There is also significant variation within each secured debt category where, for example, many firms do not finance with mezzanine debt at all. Note that secured bank lines of credit are only about 2 percent of the debt capital structure, and that less than 25 percent of all firms utilize secured bank lines at all. </w:t>
      </w:r>
    </w:p>
    <w:p w:rsidR="00FF5A6E" w:rsidRPr="00C04AFB" w:rsidRDefault="00FF5A6E" w:rsidP="00D060DD">
      <w:pPr>
        <w:spacing w:line="480" w:lineRule="auto"/>
        <w:jc w:val="center"/>
        <w:rPr>
          <w:b/>
        </w:rPr>
      </w:pPr>
      <w:r>
        <w:rPr>
          <w:b/>
        </w:rPr>
        <w:t>T</w:t>
      </w:r>
      <w:r w:rsidR="00B01B7F">
        <w:rPr>
          <w:b/>
        </w:rPr>
        <w:t>able 7</w:t>
      </w:r>
      <w:r>
        <w:rPr>
          <w:b/>
        </w:rPr>
        <w:t xml:space="preserve"> Here</w:t>
      </w:r>
    </w:p>
    <w:p w:rsidR="00FF5A6E" w:rsidRDefault="00FF5A6E" w:rsidP="00D060DD">
      <w:pPr>
        <w:spacing w:line="480" w:lineRule="auto"/>
        <w:jc w:val="both"/>
      </w:pPr>
      <w:r>
        <w:tab/>
        <w:t>Excluding the catch-all category of subordinated debt and other liabilities, unsecured debt has two components: corporate-level debt and bank lines of credit. Corporate-level unsecured debt is seen to comprise about three-fourths of the total unsecured debt. It is interesting to note that about 38 percent of REITs use secured mortgage debt to finance themselves but do not use corporate-level unsecured debt, while less than 3 percent of all REITs that use corporate-level unsecured debt do not use secured debt to finance themselves.</w:t>
      </w:r>
      <w:r>
        <w:rPr>
          <w:rStyle w:val="FootnoteReference"/>
        </w:rPr>
        <w:footnoteReference w:id="7"/>
      </w:r>
    </w:p>
    <w:p w:rsidR="00FF5A6E" w:rsidRDefault="00FF5A6E" w:rsidP="00A83A23">
      <w:pPr>
        <w:spacing w:line="480" w:lineRule="auto"/>
      </w:pPr>
    </w:p>
    <w:p w:rsidR="00FF5A6E" w:rsidRDefault="00FF5A6E" w:rsidP="00A83A23">
      <w:pPr>
        <w:spacing w:line="480" w:lineRule="auto"/>
        <w:rPr>
          <w:b/>
        </w:rPr>
      </w:pPr>
      <w:r>
        <w:rPr>
          <w:b/>
        </w:rPr>
        <w:t>III.C.</w:t>
      </w:r>
      <w:r>
        <w:rPr>
          <w:b/>
        </w:rPr>
        <w:tab/>
        <w:t>Specification</w:t>
      </w:r>
    </w:p>
    <w:p w:rsidR="00FF5A6E" w:rsidRDefault="00FF5A6E" w:rsidP="00D060DD">
      <w:pPr>
        <w:spacing w:line="480" w:lineRule="auto"/>
        <w:jc w:val="both"/>
      </w:pPr>
      <w:r>
        <w:tab/>
        <w:t xml:space="preserve">We will take a two-pronged approach to formally testing our theory of optimal capital structure. First, we employ the matching methodology of </w:t>
      </w:r>
      <w:r w:rsidRPr="0032389F">
        <w:t>Abadia</w:t>
      </w:r>
      <w:r>
        <w:t xml:space="preserve"> and </w:t>
      </w:r>
      <w:r w:rsidRPr="0032389F">
        <w:t>Imbens</w:t>
      </w:r>
      <w:r>
        <w:t xml:space="preserve"> (2002) to assess the consequences of financing choices on firm performance outcomes. At a given point in time, firms are classified based on whether they are above or below the median value of our summary measure of the joint security choice-leverage decision, defined as the ratio of secured debt to total assets. Firms below the median are hypothesized to be higher quality firms based on their revealed capital structure decisions as related to our theory. </w:t>
      </w:r>
    </w:p>
    <w:p w:rsidR="00FF5A6E" w:rsidRDefault="00FF5A6E" w:rsidP="00D060DD">
      <w:pPr>
        <w:spacing w:line="480" w:lineRule="auto"/>
        <w:ind w:firstLine="720"/>
        <w:jc w:val="both"/>
      </w:pPr>
      <w:r>
        <w:t>Firms in each group are matched based on observables, referred to as matching variables. An equally weighted squared distance measure is calculated based on matching variables, with minimum variance firms in the below-median group matched to the relevant firm in the above-median group. Performance of matched firms is tracked over time to assess model predictions. We believe this methodology is ap</w:t>
      </w:r>
      <w:r w:rsidR="00B01B7F">
        <w:t>p</w:t>
      </w:r>
      <w:r>
        <w:t xml:space="preserve">ropriate, since our theory suggests that latent value exists with better quality firms that is subsequently revealed as a result of (persistent) joint security issuance and leverage choices made by firms. </w:t>
      </w:r>
    </w:p>
    <w:p w:rsidR="00FF5A6E" w:rsidRDefault="00FF5A6E" w:rsidP="00D060DD">
      <w:pPr>
        <w:spacing w:line="480" w:lineRule="auto"/>
        <w:jc w:val="both"/>
      </w:pPr>
      <w:r>
        <w:tab/>
        <w:t xml:space="preserve">One possible concern with the results from the </w:t>
      </w:r>
      <w:r w:rsidRPr="0032389F">
        <w:t>Abadia-Imbens</w:t>
      </w:r>
      <w:r>
        <w:t xml:space="preserve"> matching methodology is that debt type might be endogenous to future outcome. To mitigate this concern, we employ a GMM approach to estimate how the joint debt security issuance-leverage decision affects firm value as measured by Tobin’s </w:t>
      </w:r>
      <w:r>
        <w:rPr>
          <w:i/>
        </w:rPr>
        <w:t xml:space="preserve">q. </w:t>
      </w:r>
      <w:r>
        <w:t xml:space="preserve">A GMM approach is attractive within our framework as a complement to the </w:t>
      </w:r>
      <w:bookmarkStart w:id="2" w:name="OLE_LINK3"/>
      <w:bookmarkStart w:id="3" w:name="OLE_LINK4"/>
      <w:r w:rsidRPr="0032389F">
        <w:t>Abadia-Imbens</w:t>
      </w:r>
      <w:bookmarkEnd w:id="2"/>
      <w:bookmarkEnd w:id="3"/>
      <w:r>
        <w:t xml:space="preserve"> matching methodology, since it handles simultaneity and estimation is cross-sectional with a steady-state interpretation. Tobin’s </w:t>
      </w:r>
      <w:r>
        <w:rPr>
          <w:i/>
        </w:rPr>
        <w:t xml:space="preserve">q </w:t>
      </w:r>
      <w:r>
        <w:t xml:space="preserve">as a left-hand side variable has been used by McConnell and Servaes (1995) and Agrawal and Knoeber (1996) to </w:t>
      </w:r>
      <w:r>
        <w:lastRenderedPageBreak/>
        <w:t xml:space="preserve">identify the determinants of optimal capital structure. But we also note that capital structure studies starting from Rajan and Zingales (1995) consistently use </w:t>
      </w:r>
      <w:r>
        <w:rPr>
          <w:i/>
        </w:rPr>
        <w:t xml:space="preserve">q </w:t>
      </w:r>
      <w:r>
        <w:t xml:space="preserve">to explain leverage, which is why the GMM approach is useful as it addresses endogeneity concerns. </w:t>
      </w:r>
    </w:p>
    <w:p w:rsidR="00FF5A6E" w:rsidRDefault="00FF5A6E" w:rsidP="00D060DD">
      <w:pPr>
        <w:spacing w:line="480" w:lineRule="auto"/>
        <w:jc w:val="both"/>
        <w:rPr>
          <w:b/>
        </w:rPr>
      </w:pPr>
    </w:p>
    <w:p w:rsidR="00FF5A6E" w:rsidRDefault="00FF5A6E" w:rsidP="00A83A23">
      <w:pPr>
        <w:spacing w:line="480" w:lineRule="auto"/>
      </w:pPr>
      <w:r>
        <w:rPr>
          <w:b/>
        </w:rPr>
        <w:t>III.C.</w:t>
      </w:r>
      <w:r>
        <w:rPr>
          <w:b/>
        </w:rPr>
        <w:tab/>
        <w:t>Estimation Results</w:t>
      </w:r>
    </w:p>
    <w:p w:rsidR="00FF5A6E" w:rsidRDefault="00FF5A6E" w:rsidP="00D060DD">
      <w:pPr>
        <w:spacing w:line="480" w:lineRule="auto"/>
        <w:jc w:val="both"/>
      </w:pPr>
      <w:r>
        <w:tab/>
        <w:t xml:space="preserve">We will first report the matching estimation results. For each firm in the treated group, we identify three REITs as a match in the control group. Matching criteria are based on five matching variables: </w:t>
      </w:r>
      <w:r>
        <w:rPr>
          <w:i/>
        </w:rPr>
        <w:t>q</w:t>
      </w:r>
      <w:r>
        <w:t>, Size, Profitability, Earnings Volatility and Age. T</w:t>
      </w:r>
      <w:r w:rsidR="00B01B7F">
        <w:t>able 8</w:t>
      </w:r>
      <w:r>
        <w:t xml:space="preserve"> displays summary statistics for the five matching variables as they apply to the treatment and control samples, respectively. The key finding in T</w:t>
      </w:r>
      <w:r w:rsidR="00B01B7F">
        <w:t>able 8</w:t>
      </w:r>
      <w:r>
        <w:t xml:space="preserve"> is that treatment and control firms do not differ in any significant way based on the matching variables.</w:t>
      </w:r>
    </w:p>
    <w:p w:rsidR="00FF5A6E" w:rsidRPr="00C04AFB" w:rsidRDefault="00FF5A6E" w:rsidP="00C04AFB">
      <w:pPr>
        <w:spacing w:line="480" w:lineRule="auto"/>
        <w:jc w:val="center"/>
        <w:rPr>
          <w:b/>
        </w:rPr>
      </w:pPr>
      <w:r>
        <w:rPr>
          <w:b/>
        </w:rPr>
        <w:t>T</w:t>
      </w:r>
      <w:r w:rsidR="00B01B7F">
        <w:rPr>
          <w:b/>
        </w:rPr>
        <w:t>able 8</w:t>
      </w:r>
      <w:r>
        <w:rPr>
          <w:b/>
        </w:rPr>
        <w:t xml:space="preserve"> Here</w:t>
      </w:r>
    </w:p>
    <w:p w:rsidR="00FF5A6E" w:rsidRDefault="00FF5A6E" w:rsidP="00D060DD">
      <w:pPr>
        <w:spacing w:line="480" w:lineRule="auto"/>
        <w:jc w:val="both"/>
      </w:pPr>
      <w:r>
        <w:tab/>
        <w:t xml:space="preserve">Tables </w:t>
      </w:r>
      <w:r w:rsidR="00B01B7F">
        <w:t>9</w:t>
      </w:r>
      <w:r>
        <w:t xml:space="preserve"> through </w:t>
      </w:r>
      <w:r w:rsidR="00B01B7F">
        <w:t>1</w:t>
      </w:r>
      <w:r w:rsidR="007124F0">
        <w:t>1</w:t>
      </w:r>
      <w:r w:rsidR="00126905">
        <w:t xml:space="preserve"> </w:t>
      </w:r>
      <w:r>
        <w:t xml:space="preserve">display results on a 12- 24- and 36-month forward looking basis as they apply to investment, profitability, and equity issuance, respectively. The results are clear and distinct. Firms with secured debt-to-total asset ratios that are below the median invest more, generate higher returns, are valued more highly, and use a high proportion of equity to finance investment. The initial and latter results suggest persistence and self-reinforcement in the groupings, implying that once a firm makes capital structure choices that reveal type they tend to get “stuck” in that category. </w:t>
      </w:r>
    </w:p>
    <w:p w:rsidR="00FF5A6E" w:rsidRPr="00C04AFB" w:rsidRDefault="00FF5A6E" w:rsidP="006D3A0A">
      <w:pPr>
        <w:spacing w:line="480" w:lineRule="auto"/>
        <w:jc w:val="center"/>
        <w:rPr>
          <w:b/>
        </w:rPr>
      </w:pPr>
      <w:r>
        <w:rPr>
          <w:b/>
        </w:rPr>
        <w:t xml:space="preserve">Tables </w:t>
      </w:r>
      <w:r w:rsidR="00126905">
        <w:rPr>
          <w:b/>
        </w:rPr>
        <w:t>9</w:t>
      </w:r>
      <w:r>
        <w:rPr>
          <w:b/>
        </w:rPr>
        <w:t xml:space="preserve">, </w:t>
      </w:r>
      <w:r w:rsidR="00126905">
        <w:rPr>
          <w:b/>
        </w:rPr>
        <w:t>10</w:t>
      </w:r>
      <w:r>
        <w:rPr>
          <w:b/>
        </w:rPr>
        <w:t xml:space="preserve">, </w:t>
      </w:r>
      <w:r w:rsidR="00126905">
        <w:rPr>
          <w:b/>
        </w:rPr>
        <w:t xml:space="preserve">11 </w:t>
      </w:r>
      <w:r>
        <w:rPr>
          <w:b/>
        </w:rPr>
        <w:t>Here</w:t>
      </w:r>
    </w:p>
    <w:p w:rsidR="00FF5A6E" w:rsidRDefault="00FF5A6E" w:rsidP="00D060DD">
      <w:pPr>
        <w:spacing w:line="480" w:lineRule="auto"/>
        <w:ind w:firstLine="720"/>
        <w:jc w:val="both"/>
      </w:pPr>
      <w:r>
        <w:t xml:space="preserve">The differences are statistically and economically significant. For example, firms with lower-than-median secured debt-to-total asset ratios invest approximately four percent more per year and earn approximately two percent more per year on assets on a look-forward basis. Firm </w:t>
      </w:r>
      <w:r>
        <w:lastRenderedPageBreak/>
        <w:t>value relative to initial total book assets for firms with lower-than-median secured debt-to-total asset ratios increase at a rate of approximately 3 percent fast than treatment group, although the statistical significance is not quite as strong with this measure than the other two measures.</w:t>
      </w:r>
    </w:p>
    <w:p w:rsidR="0096771D" w:rsidRDefault="00FF5A6E" w:rsidP="00D060DD">
      <w:pPr>
        <w:spacing w:line="480" w:lineRule="auto"/>
        <w:jc w:val="both"/>
      </w:pPr>
      <w:r>
        <w:tab/>
        <w:t xml:space="preserve">We now offer results that are based on GMM estimation. In a GMM framework endogenous variables are estimated as part of a system in the cross section implying that simultaneity </w:t>
      </w:r>
      <w:r w:rsidR="0096771D">
        <w:t>and</w:t>
      </w:r>
      <w:r>
        <w:t xml:space="preserve"> timing concerns with respect to </w:t>
      </w:r>
      <w:r>
        <w:rPr>
          <w:i/>
        </w:rPr>
        <w:t xml:space="preserve">q </w:t>
      </w:r>
      <w:r>
        <w:t>and f</w:t>
      </w:r>
      <w:r w:rsidR="0096771D">
        <w:t>inancing decisions are mitigated</w:t>
      </w:r>
      <w:r>
        <w:t xml:space="preserve">. </w:t>
      </w:r>
      <w:r w:rsidR="0096771D">
        <w:t>All variables are first-differenced to control for firm-fixed effects</w:t>
      </w:r>
      <w:r w:rsidR="005B0C94">
        <w:t xml:space="preserve"> and instrumented by their fourth to ninth lags in levels. The instrumental set also include a constant term</w:t>
      </w:r>
      <w:r w:rsidR="0096771D">
        <w:t>.</w:t>
      </w:r>
    </w:p>
    <w:p w:rsidR="00FF5A6E" w:rsidRDefault="00FF5A6E" w:rsidP="00D060DD">
      <w:pPr>
        <w:spacing w:line="480" w:lineRule="auto"/>
        <w:ind w:firstLine="720"/>
        <w:jc w:val="both"/>
      </w:pPr>
      <w:r>
        <w:t xml:space="preserve">Specifically, we regress changes in </w:t>
      </w:r>
      <w:r>
        <w:rPr>
          <w:i/>
        </w:rPr>
        <w:t xml:space="preserve">q </w:t>
      </w:r>
      <w:r>
        <w:t xml:space="preserve">and changes in the secured debt-to-total asset ratio (market as well as book) on each other, together with a set of appropriate control variables. Note that the earnings change variable is forward-looking, which goes to the issue of disentangling changes in </w:t>
      </w:r>
      <w:r>
        <w:rPr>
          <w:i/>
        </w:rPr>
        <w:t xml:space="preserve">q </w:t>
      </w:r>
      <w:r>
        <w:t xml:space="preserve">that are related to fundamentals versus unobservables. Estimation results are displayed in Panels A and B in Table </w:t>
      </w:r>
      <w:r w:rsidR="00126905">
        <w:t>1</w:t>
      </w:r>
      <w:r w:rsidR="007124F0">
        <w:t>2</w:t>
      </w:r>
      <w:r w:rsidR="005B0C94">
        <w:t>, where for comparison we report OLS estimation results in levels.</w:t>
      </w:r>
    </w:p>
    <w:p w:rsidR="00FF5A6E" w:rsidRDefault="00FF5A6E" w:rsidP="00D060DD">
      <w:pPr>
        <w:spacing w:line="480" w:lineRule="auto"/>
        <w:jc w:val="center"/>
      </w:pPr>
      <w:r>
        <w:rPr>
          <w:b/>
        </w:rPr>
        <w:t xml:space="preserve">Table </w:t>
      </w:r>
      <w:r w:rsidR="00126905">
        <w:rPr>
          <w:b/>
        </w:rPr>
        <w:t>1</w:t>
      </w:r>
      <w:r w:rsidR="007124F0">
        <w:rPr>
          <w:b/>
        </w:rPr>
        <w:t>2</w:t>
      </w:r>
      <w:r w:rsidR="00126905">
        <w:rPr>
          <w:b/>
        </w:rPr>
        <w:t xml:space="preserve"> </w:t>
      </w:r>
      <w:r>
        <w:rPr>
          <w:b/>
        </w:rPr>
        <w:t>Here</w:t>
      </w:r>
    </w:p>
    <w:p w:rsidR="00FF5A6E" w:rsidRDefault="00FF5A6E" w:rsidP="00D060DD">
      <w:pPr>
        <w:spacing w:line="480" w:lineRule="auto"/>
        <w:jc w:val="both"/>
      </w:pPr>
      <w:r>
        <w:tab/>
        <w:t xml:space="preserve">As seen in Panel A of the table, firms that make leverage-increasing secured debt financing choices generate lower </w:t>
      </w:r>
      <w:r>
        <w:rPr>
          <w:i/>
        </w:rPr>
        <w:t xml:space="preserve">q </w:t>
      </w:r>
      <w:r>
        <w:t xml:space="preserve">values. The results are economically significant, in which a 10 percent increase in the secured debt ratio results in almost a 4 percent decrease in </w:t>
      </w:r>
      <w:r>
        <w:rPr>
          <w:i/>
        </w:rPr>
        <w:t>q</w:t>
      </w:r>
      <w:r>
        <w:t xml:space="preserve"> as measured in market value and almost a 3 percent decrease in </w:t>
      </w:r>
      <w:r>
        <w:rPr>
          <w:i/>
        </w:rPr>
        <w:t>q</w:t>
      </w:r>
      <w:r>
        <w:t xml:space="preserve"> as measured by book value. OLS estimation results are consistent with GMM estimation results, where the OLS results in levels suggest strong persistence in financing-induced firm valuation outcomes. </w:t>
      </w:r>
    </w:p>
    <w:p w:rsidR="00FF5A6E" w:rsidRDefault="00FF5A6E" w:rsidP="00D060DD">
      <w:pPr>
        <w:spacing w:line="480" w:lineRule="auto"/>
        <w:jc w:val="both"/>
      </w:pPr>
      <w:r>
        <w:tab/>
        <w:t xml:space="preserve">Panel B shows that increases in </w:t>
      </w:r>
      <w:r>
        <w:rPr>
          <w:i/>
        </w:rPr>
        <w:t>q</w:t>
      </w:r>
      <w:r>
        <w:t xml:space="preserve"> simultaneously cause a decrease in the total secured leverage ratio, a result that is statistically significant in the market value GMM regression. </w:t>
      </w:r>
      <w:r>
        <w:lastRenderedPageBreak/>
        <w:t xml:space="preserve">Together with results from Panel A, we infer a feedback that is consistent with implications of our model and the matching estimation results previously reported, in which higher secured leverage causes lower </w:t>
      </w:r>
      <w:r>
        <w:rPr>
          <w:i/>
        </w:rPr>
        <w:t>q</w:t>
      </w:r>
      <w:r>
        <w:t>-values that in turn cause increases in the secured debt ratio. In other words, firms reveal themselves through their financing decisions as higher or lower quality firms, an effect that is intertemporally self-reinforcing.</w:t>
      </w:r>
    </w:p>
    <w:p w:rsidR="00FF5A6E" w:rsidRDefault="00FF5A6E" w:rsidP="00D060DD">
      <w:pPr>
        <w:spacing w:line="480" w:lineRule="auto"/>
        <w:jc w:val="both"/>
      </w:pPr>
      <w:r>
        <w:tab/>
        <w:t xml:space="preserve">In Table </w:t>
      </w:r>
      <w:r w:rsidR="00126905">
        <w:t>1</w:t>
      </w:r>
      <w:r w:rsidR="007124F0">
        <w:t>3</w:t>
      </w:r>
      <w:r w:rsidR="00126905">
        <w:t xml:space="preserve"> </w:t>
      </w:r>
      <w:r>
        <w:t>we report GMM estimation results where we now consider separately the component parts of the secured debt-to-total asset ratio: the ratios of secured debt to total debt and total debt to total assets. Prior to considering the results, recall the significant positive correlation that exists between the two component leverage measures. Strong positive correlation, in addition to being consistent with our theory, has the effect of biasing the relevant regression coefficients towards zero.</w:t>
      </w:r>
    </w:p>
    <w:p w:rsidR="00FF5A6E" w:rsidRPr="002642E2" w:rsidRDefault="00FF5A6E" w:rsidP="002642E2">
      <w:pPr>
        <w:spacing w:line="480" w:lineRule="auto"/>
        <w:jc w:val="center"/>
        <w:rPr>
          <w:b/>
        </w:rPr>
      </w:pPr>
      <w:r>
        <w:rPr>
          <w:b/>
        </w:rPr>
        <w:t xml:space="preserve">Table </w:t>
      </w:r>
      <w:r w:rsidR="00126905">
        <w:rPr>
          <w:b/>
        </w:rPr>
        <w:t>1</w:t>
      </w:r>
      <w:r w:rsidR="007124F0">
        <w:rPr>
          <w:b/>
        </w:rPr>
        <w:t>3</w:t>
      </w:r>
      <w:r w:rsidR="00126905">
        <w:rPr>
          <w:b/>
        </w:rPr>
        <w:t xml:space="preserve"> </w:t>
      </w:r>
      <w:r>
        <w:rPr>
          <w:b/>
        </w:rPr>
        <w:t>Here</w:t>
      </w:r>
    </w:p>
    <w:p w:rsidR="00FF5A6E" w:rsidRDefault="00FF5A6E" w:rsidP="00D060DD">
      <w:pPr>
        <w:spacing w:line="480" w:lineRule="auto"/>
        <w:jc w:val="both"/>
      </w:pPr>
      <w:r>
        <w:tab/>
        <w:t xml:space="preserve">Results show that, in the case of using market leverage, total market leverage has a significantly negative effect on </w:t>
      </w:r>
      <w:r>
        <w:rPr>
          <w:i/>
        </w:rPr>
        <w:t>q</w:t>
      </w:r>
      <w:r>
        <w:t xml:space="preserve">, and, simultaneously, </w:t>
      </w:r>
      <w:r>
        <w:rPr>
          <w:i/>
        </w:rPr>
        <w:t xml:space="preserve">q </w:t>
      </w:r>
      <w:r>
        <w:t xml:space="preserve">has a significantly negative effect on market leverage. The secured debt-to-total debt ratio is insignificant. In comparison, in the case of using book leverage, secured debt-to-total debt has a significantly negative effect on </w:t>
      </w:r>
      <w:r>
        <w:rPr>
          <w:i/>
        </w:rPr>
        <w:t>q</w:t>
      </w:r>
      <w:r>
        <w:t xml:space="preserve">, and, simultaneously </w:t>
      </w:r>
      <w:r>
        <w:rPr>
          <w:i/>
        </w:rPr>
        <w:t xml:space="preserve">q </w:t>
      </w:r>
      <w:r>
        <w:t>has a significantly negative effect on the secured debt-to-total debt ratio. We interpret these results as consistent and complementary with our matching methodology results as well as previous GMM specification, and supportive of the theory outlined earlier in the paper.</w:t>
      </w:r>
    </w:p>
    <w:p w:rsidR="007B45DF" w:rsidRPr="007B45DF" w:rsidRDefault="007B45DF" w:rsidP="00D060DD">
      <w:pPr>
        <w:spacing w:line="480" w:lineRule="auto"/>
        <w:jc w:val="both"/>
      </w:pPr>
      <w:r>
        <w:tab/>
        <w:t>Regarding the GMM models, t</w:t>
      </w:r>
      <w:r w:rsidRPr="007B45DF">
        <w:t xml:space="preserve">he </w:t>
      </w:r>
      <w:r w:rsidRPr="007B45DF">
        <w:rPr>
          <w:i/>
        </w:rPr>
        <w:t>p</w:t>
      </w:r>
      <w:r w:rsidRPr="007B45DF">
        <w:t xml:space="preserve">-values for the Hansen </w:t>
      </w:r>
      <w:r w:rsidRPr="007B45DF">
        <w:rPr>
          <w:i/>
        </w:rPr>
        <w:t>J</w:t>
      </w:r>
      <w:r w:rsidRPr="007B45DF">
        <w:t xml:space="preserve">-test of overidentifying restrictions indicate that we never reject the joint null hypothesis that our instruments are uncorrelated with the error term in the </w:t>
      </w:r>
      <w:r w:rsidRPr="007B45DF">
        <w:rPr>
          <w:i/>
        </w:rPr>
        <w:t>q</w:t>
      </w:r>
      <w:r>
        <w:t xml:space="preserve"> or leverage</w:t>
      </w:r>
      <w:r w:rsidRPr="007B45DF">
        <w:t xml:space="preserve"> regressions and the model is well-specified. </w:t>
      </w:r>
      <w:r w:rsidRPr="007B45DF">
        <w:lastRenderedPageBreak/>
        <w:t xml:space="preserve">Furthermore, the low </w:t>
      </w:r>
      <w:r w:rsidRPr="007B45DF">
        <w:rPr>
          <w:i/>
        </w:rPr>
        <w:t>p</w:t>
      </w:r>
      <w:r w:rsidRPr="007B45DF">
        <w:t xml:space="preserve">-values associated with the first stage </w:t>
      </w:r>
      <w:r w:rsidRPr="007B45DF">
        <w:rPr>
          <w:i/>
        </w:rPr>
        <w:t>F</w:t>
      </w:r>
      <w:r w:rsidRPr="007B45DF">
        <w:t>-test of excluded instruments confirm that our instruments are relevant in explaining the variation of our endogenous variables.</w:t>
      </w:r>
    </w:p>
    <w:p w:rsidR="00FF5A6E" w:rsidRDefault="00FF5A6E" w:rsidP="00D060DD">
      <w:pPr>
        <w:spacing w:line="480" w:lineRule="auto"/>
        <w:jc w:val="both"/>
      </w:pPr>
      <w:r>
        <w:tab/>
        <w:t xml:space="preserve">As a final exercise, in Table </w:t>
      </w:r>
      <w:r w:rsidR="00126905">
        <w:t>1</w:t>
      </w:r>
      <w:r w:rsidR="007124F0">
        <w:t>4</w:t>
      </w:r>
      <w:r w:rsidR="00126905">
        <w:t xml:space="preserve"> </w:t>
      </w:r>
      <w:r>
        <w:t xml:space="preserve">we compare allocation of income from operations to debt and equityholders. Firms with below-median levels of secured debt-to-total assets are slightly more profitable, in the sense that they generate greater cash from operations as a percentage of assets in place. They are seen to commit to lower debt service obligations, and thus generate higher pre-dividend cash flow relative to above-median firms. These results show strong persistence over time. But then observe that the below-median firms pay this cash out in the form of dividends to result in no difference in incremental cash directed to the balance sheet. </w:t>
      </w:r>
    </w:p>
    <w:p w:rsidR="00FF5A6E" w:rsidRPr="00C24A59" w:rsidRDefault="00FF5A6E" w:rsidP="00C24A59">
      <w:pPr>
        <w:spacing w:line="480" w:lineRule="auto"/>
        <w:jc w:val="center"/>
        <w:rPr>
          <w:b/>
        </w:rPr>
      </w:pPr>
      <w:r>
        <w:rPr>
          <w:b/>
        </w:rPr>
        <w:t xml:space="preserve">Table </w:t>
      </w:r>
      <w:r w:rsidR="00126905">
        <w:rPr>
          <w:b/>
        </w:rPr>
        <w:t>1</w:t>
      </w:r>
      <w:r w:rsidR="007124F0">
        <w:rPr>
          <w:b/>
        </w:rPr>
        <w:t>4</w:t>
      </w:r>
      <w:r w:rsidR="00126905">
        <w:rPr>
          <w:b/>
        </w:rPr>
        <w:t xml:space="preserve"> </w:t>
      </w:r>
      <w:r>
        <w:rPr>
          <w:b/>
        </w:rPr>
        <w:t>Here</w:t>
      </w:r>
    </w:p>
    <w:p w:rsidR="00FF5A6E" w:rsidRDefault="00FF5A6E" w:rsidP="00D060DD">
      <w:pPr>
        <w:spacing w:line="480" w:lineRule="auto"/>
        <w:ind w:firstLine="720"/>
        <w:jc w:val="both"/>
      </w:pPr>
      <w:r>
        <w:t>This is consistent with our model structure that follows from Myers and Rajan’s (1998) argument that cash has little commitment value, and moreover that there is a significant opportunity cost to retaining cash on the balance sheet. Instead, higher quality firms reduce debt service obligations relative to available cash flow from operations, which is the most credibly “commitable” cash flow available to mitigate default risk. Donaldson (1961) and Myers and Majluf (1984)’ pecking order of financing choices is consistent with this finding, in that firms with excess cas</w:t>
      </w:r>
      <w:r w:rsidR="00B01B7F">
        <w:t>h tend to pay down debt faster.</w:t>
      </w:r>
      <w:r>
        <w:t xml:space="preserve"> </w:t>
      </w:r>
    </w:p>
    <w:p w:rsidR="00FF5A6E" w:rsidRDefault="00FF5A6E" w:rsidP="00D060DD">
      <w:pPr>
        <w:spacing w:line="480" w:lineRule="auto"/>
        <w:ind w:firstLine="720"/>
        <w:jc w:val="both"/>
      </w:pPr>
      <w:r>
        <w:t xml:space="preserve">Thus, in summary, our results indicate that higher-quality firms show commitment to unsecured creditors by issuing equity and keeping leverage at a manageable level. In fact, unsecured debt often has </w:t>
      </w:r>
      <w:r w:rsidRPr="00F5467C">
        <w:t>covenants</w:t>
      </w:r>
      <w:r>
        <w:t xml:space="preserve"> that formalize this commitment, which is something that management considers prior to placing the unsecured debt on its balance sheet. Lower quality firms, which often have only secured debt on their balance sheets, show no such commitment. And, even though higher quality firms have greater pre-dividend cash that they could save to the </w:t>
      </w:r>
      <w:r>
        <w:lastRenderedPageBreak/>
        <w:t xml:space="preserve">balance sheet (at a cost), they instead pay a greater percentage of this cash flow out to shareholders as dividends. </w:t>
      </w:r>
    </w:p>
    <w:p w:rsidR="00FF5A6E" w:rsidRDefault="00FF5A6E" w:rsidP="00D060DD">
      <w:pPr>
        <w:spacing w:line="480" w:lineRule="auto"/>
        <w:ind w:firstLine="720"/>
        <w:jc w:val="both"/>
      </w:pPr>
      <w:r>
        <w:t xml:space="preserve">Our results complement those in Rajan and Winton (1995), who show that collateral along with covenants improves the creditor’s incentive to monitor the firm and lower quality firms collateralize more of the assets. In this paper, we show that higher quality firms use equity along with this commitment to keep leverage at reasonable levels, which causes creditors to require less collateral and lowers the cost of monitoring.     </w:t>
      </w:r>
    </w:p>
    <w:p w:rsidR="00FF5A6E" w:rsidRDefault="00FF5A6E" w:rsidP="00D060DD">
      <w:pPr>
        <w:spacing w:line="480" w:lineRule="auto"/>
        <w:jc w:val="both"/>
      </w:pPr>
    </w:p>
    <w:p w:rsidR="00FF5A6E" w:rsidRPr="00791184" w:rsidRDefault="00FF5A6E" w:rsidP="00A83A23">
      <w:pPr>
        <w:spacing w:line="480" w:lineRule="auto"/>
        <w:rPr>
          <w:b/>
        </w:rPr>
      </w:pPr>
      <w:r>
        <w:rPr>
          <w:b/>
        </w:rPr>
        <w:t>IV.</w:t>
      </w:r>
      <w:r>
        <w:rPr>
          <w:b/>
        </w:rPr>
        <w:tab/>
        <w:t>Summary and Conclusion</w:t>
      </w:r>
    </w:p>
    <w:p w:rsidR="00FF5A6E" w:rsidRDefault="00FF5A6E" w:rsidP="00D060DD">
      <w:pPr>
        <w:spacing w:line="480" w:lineRule="auto"/>
        <w:jc w:val="both"/>
      </w:pPr>
      <w:r>
        <w:tab/>
        <w:t>Credit availability matters in the real economy, and collateral affects the availability of credit. We distinguish between cash and real collateral that has debt capacity, and consider the effects of collateral and debt capacity in the optimal capital structure of a going concern. Theoretical results show, in an extension to Bester (1985), that firms with higher quality real collateral are willing to commit that collateral to issue unsecured debt while firms with lower quality collateral find that secured debt is a cheaper source of outside finance. Higher quality firms must also issue equity, however, in order to separate themselves from lower quality firms, implying less leverage and less reliance on secured debt. Separated firms thus have a latent value component that is revealed to the market as a result of their financing decisions.</w:t>
      </w:r>
    </w:p>
    <w:p w:rsidR="00FF5A6E" w:rsidRDefault="00FF5A6E" w:rsidP="00D060DD">
      <w:pPr>
        <w:spacing w:line="480" w:lineRule="auto"/>
        <w:jc w:val="both"/>
      </w:pPr>
      <w:r>
        <w:tab/>
        <w:t>Empirical implications of the model are tested with data from Real Estate Investment Trusts (REITs), which are firms that primarily hold that most collateralizable of assets</w:t>
      </w:r>
      <w:r w:rsidR="00B01B7F">
        <w:t>—com</w:t>
      </w:r>
      <w:r>
        <w:t xml:space="preserve">mercial real estate. Using the matching methodology of </w:t>
      </w:r>
      <w:r w:rsidRPr="0032389F">
        <w:t>Abadia</w:t>
      </w:r>
      <w:r>
        <w:t xml:space="preserve"> and </w:t>
      </w:r>
      <w:r w:rsidRPr="0032389F">
        <w:t>Imbens</w:t>
      </w:r>
      <w:r>
        <w:t xml:space="preserve"> (2002) and a GMM approach that simultaneously estimates </w:t>
      </w:r>
      <w:r>
        <w:rPr>
          <w:i/>
        </w:rPr>
        <w:t xml:space="preserve">q </w:t>
      </w:r>
      <w:r>
        <w:t xml:space="preserve">and measures of capital structure choice, we find strong and consistent support for our theory. We moreover show that firms identified as higher </w:t>
      </w:r>
      <w:r>
        <w:lastRenderedPageBreak/>
        <w:t>quality in our sample credibly commit to quality by keeping debt service obligations low, but otherwise do not maintain cash positions as these positions have no commitment value and result in high opportunity holding costs.</w:t>
      </w:r>
      <w:r w:rsidR="003910AD">
        <w:t xml:space="preserve"> </w:t>
      </w:r>
      <w:r>
        <w:t xml:space="preserve">We show that screening through collateral and </w:t>
      </w:r>
      <w:r w:rsidR="003910AD">
        <w:t xml:space="preserve">an </w:t>
      </w:r>
      <w:r>
        <w:t xml:space="preserve">inability to commit cash changes standard pecking order relations. As a result, secured debt is issued out of weakness, not strength. Secured debt is issued by weaker firms because creditors are concerned </w:t>
      </w:r>
      <w:r w:rsidR="003910AD">
        <w:t xml:space="preserve">about </w:t>
      </w:r>
      <w:r>
        <w:t xml:space="preserve">asset substitution as it relates to the existing stock of assets (rather than new investment). Free cash flow has commitment value only as it applies to servicing debt, which provides a new perspective on Jensen (1986). </w:t>
      </w:r>
    </w:p>
    <w:p w:rsidR="00FF5A6E" w:rsidRPr="00791184" w:rsidRDefault="00FF5A6E" w:rsidP="00D060DD">
      <w:pPr>
        <w:spacing w:line="480" w:lineRule="auto"/>
        <w:jc w:val="both"/>
      </w:pPr>
      <w:r>
        <w:tab/>
        <w:t>An important final point is that, while assets with greater debt capacity may increase optimal leverage levels, it does not necessarily imply an optimal capital structure that approaches the upper limit of debt capacity. Moreover, secured debt, which is often associated with collateralizable assets such as real estate, is not necessarily the best kind of debt to employ to finance asset ownership. This paper demonstrates with theory and evidence that there are limits to debt capacity and the kinds of claims that are issued to deploy that debt capacity.</w:t>
      </w:r>
    </w:p>
    <w:p w:rsidR="00FF5A6E" w:rsidRDefault="00FF5A6E" w:rsidP="00BF0FDA">
      <w:pPr>
        <w:jc w:val="center"/>
        <w:rPr>
          <w:b/>
        </w:rPr>
      </w:pPr>
      <w:r>
        <w:br w:type="page"/>
      </w:r>
      <w:r>
        <w:rPr>
          <w:b/>
        </w:rPr>
        <w:lastRenderedPageBreak/>
        <w:t>Appendix A</w:t>
      </w:r>
    </w:p>
    <w:p w:rsidR="00FF5A6E" w:rsidRDefault="00FF5A6E" w:rsidP="00BF0FDA">
      <w:pPr>
        <w:jc w:val="center"/>
        <w:rPr>
          <w:b/>
        </w:rPr>
      </w:pPr>
    </w:p>
    <w:p w:rsidR="00FF5A6E" w:rsidRPr="00BF0FDA" w:rsidRDefault="00FF5A6E" w:rsidP="00BF0FDA">
      <w:pPr>
        <w:jc w:val="center"/>
        <w:rPr>
          <w:b/>
        </w:rPr>
      </w:pPr>
      <w:r>
        <w:rPr>
          <w:b/>
        </w:rPr>
        <w:t>Proofs of Lemmas, Propositions and Corollaries</w:t>
      </w:r>
    </w:p>
    <w:p w:rsidR="00FF5A6E" w:rsidRDefault="00FF5A6E" w:rsidP="00F02477"/>
    <w:p w:rsidR="00FF5A6E" w:rsidRDefault="00FF5A6E" w:rsidP="00F02477"/>
    <w:p w:rsidR="00FF5A6E" w:rsidRDefault="00FF5A6E" w:rsidP="00F02477"/>
    <w:p w:rsidR="00FF5A6E" w:rsidRPr="00BF0FDA" w:rsidRDefault="00FF5A6E" w:rsidP="00F02477">
      <w:pPr>
        <w:rPr>
          <w:b/>
          <w:i/>
          <w:u w:val="single"/>
        </w:rPr>
      </w:pPr>
      <w:r w:rsidRPr="00BF0FDA">
        <w:rPr>
          <w:b/>
          <w:i/>
          <w:u w:val="single"/>
        </w:rPr>
        <w:t>Proof of Proposition 1</w:t>
      </w:r>
    </w:p>
    <w:p w:rsidR="00FF5A6E" w:rsidRDefault="00FF5A6E" w:rsidP="00F02477">
      <w:pPr>
        <w:rPr>
          <w:b/>
          <w:i/>
        </w:rPr>
      </w:pPr>
    </w:p>
    <w:p w:rsidR="00FF5A6E" w:rsidRDefault="00FF5A6E" w:rsidP="00D060DD">
      <w:pPr>
        <w:jc w:val="both"/>
        <w:rPr>
          <w:i/>
        </w:rPr>
      </w:pPr>
      <w:r>
        <w:rPr>
          <w:i/>
        </w:rPr>
        <w:t xml:space="preserve">Proving this proposition requires, given the two financing choices and assuming that firm type is known to creditors, comparing issuance proceeds and choosing a financing plan that generates the greatest proceeds (lowest cost of capital) from issuance. </w:t>
      </w:r>
    </w:p>
    <w:p w:rsidR="00FF5A6E" w:rsidRDefault="00FF5A6E" w:rsidP="00F02477">
      <w:pPr>
        <w:rPr>
          <w:i/>
        </w:rPr>
      </w:pPr>
    </w:p>
    <w:p w:rsidR="00FF5A6E" w:rsidRDefault="00FF5A6E" w:rsidP="009533D1">
      <w:pPr>
        <w:jc w:val="both"/>
        <w:rPr>
          <w:i/>
        </w:rPr>
      </w:pPr>
      <w:r>
        <w:rPr>
          <w:i/>
        </w:rPr>
        <w:t xml:space="preserve">Consider first the </w:t>
      </w:r>
      <w:r>
        <w:t>G-</w:t>
      </w:r>
      <w:r>
        <w:rPr>
          <w:i/>
        </w:rPr>
        <w:t xml:space="preserve">quality firm. Proceeds from issuing unsecured debt </w:t>
      </w:r>
      <w:proofErr w:type="gramStart"/>
      <w:r>
        <w:rPr>
          <w:i/>
        </w:rPr>
        <w:t>are</w:t>
      </w:r>
      <w:r w:rsidR="009533D1">
        <w:rPr>
          <w:i/>
        </w:rPr>
        <w:t xml:space="preserve"> </w:t>
      </w:r>
      <w:proofErr w:type="gramEnd"/>
      <w:r w:rsidRPr="00B82E26">
        <w:rPr>
          <w:i/>
          <w:position w:val="-32"/>
        </w:rPr>
        <w:object w:dxaOrig="3900" w:dyaOrig="760">
          <v:shape id="_x0000_i1064" type="#_x0000_t75" style="width:195.05pt;height:38.15pt" o:ole="">
            <v:imagedata r:id="rId80" o:title=""/>
          </v:shape>
          <o:OLEObject Type="Embed" ProgID="Equation.3" ShapeID="_x0000_i1064" DrawAspect="Content" ObjectID="_1331623427" r:id="rId81"/>
        </w:object>
      </w:r>
      <w:r>
        <w:rPr>
          <w:i/>
        </w:rPr>
        <w:t xml:space="preserve">. Unsecured debt issuance will be preferred if </w:t>
      </w:r>
      <w:r w:rsidRPr="007A4573">
        <w:rPr>
          <w:i/>
          <w:position w:val="-12"/>
        </w:rPr>
        <w:object w:dxaOrig="440" w:dyaOrig="380">
          <v:shape id="_x0000_i1065" type="#_x0000_t75" style="width:22.05pt;height:18.8pt" o:ole="">
            <v:imagedata r:id="rId56" o:title=""/>
          </v:shape>
          <o:OLEObject Type="Embed" ProgID="Equation.3" ShapeID="_x0000_i1065" DrawAspect="Content" ObjectID="_1331623428" r:id="rId82"/>
        </w:object>
      </w:r>
      <w:r>
        <w:rPr>
          <w:i/>
        </w:rPr>
        <w:t>&gt;B</w:t>
      </w:r>
      <w:r>
        <w:rPr>
          <w:i/>
          <w:vertAlign w:val="subscript"/>
        </w:rPr>
        <w:t>u</w:t>
      </w:r>
      <w:r>
        <w:rPr>
          <w:i/>
        </w:rPr>
        <w:t>, where we recall that B</w:t>
      </w:r>
      <w:r>
        <w:rPr>
          <w:i/>
          <w:vertAlign w:val="subscript"/>
        </w:rPr>
        <w:t>u</w:t>
      </w:r>
      <w:r>
        <w:rPr>
          <w:i/>
        </w:rPr>
        <w:t xml:space="preserve"> measures proceeds from a secured debt issuance. Consequently, unsecured debt proceeds exceed secured debt proceeds if and only </w:t>
      </w:r>
      <w:proofErr w:type="gramStart"/>
      <w:r>
        <w:rPr>
          <w:i/>
        </w:rPr>
        <w:t xml:space="preserve">if </w:t>
      </w:r>
      <w:proofErr w:type="gramEnd"/>
      <w:r w:rsidRPr="000B716B">
        <w:rPr>
          <w:i/>
          <w:position w:val="-28"/>
        </w:rPr>
        <w:object w:dxaOrig="3920" w:dyaOrig="680">
          <v:shape id="_x0000_i1066" type="#_x0000_t75" style="width:196.1pt;height:33.85pt" o:ole="">
            <v:imagedata r:id="rId83" o:title=""/>
          </v:shape>
          <o:OLEObject Type="Embed" ProgID="Equation.3" ShapeID="_x0000_i1066" DrawAspect="Content" ObjectID="_1331623429" r:id="rId84"/>
        </w:object>
      </w:r>
      <w:r>
        <w:rPr>
          <w:i/>
        </w:rPr>
        <w:t>. Rearranging terms we obtain the condition</w:t>
      </w:r>
      <w:proofErr w:type="gramStart"/>
      <w:r>
        <w:rPr>
          <w:i/>
        </w:rPr>
        <w:t xml:space="preserve">, </w:t>
      </w:r>
      <w:proofErr w:type="gramEnd"/>
      <w:r w:rsidRPr="006952DD">
        <w:rPr>
          <w:i/>
          <w:position w:val="-30"/>
        </w:rPr>
        <w:object w:dxaOrig="5040" w:dyaOrig="720">
          <v:shape id="_x0000_i1067" type="#_x0000_t75" style="width:252pt;height:36pt" o:ole="">
            <v:imagedata r:id="rId85" o:title=""/>
          </v:shape>
          <o:OLEObject Type="Embed" ProgID="Equation.3" ShapeID="_x0000_i1067" DrawAspect="Content" ObjectID="_1331623430" r:id="rId86"/>
        </w:object>
      </w:r>
      <w:r>
        <w:rPr>
          <w:i/>
        </w:rPr>
        <w:t>, which holds because the second term on the left-hand side of the inequality exceeds the second term on the right-hand side.</w:t>
      </w:r>
    </w:p>
    <w:p w:rsidR="00FF5A6E" w:rsidRDefault="00FF5A6E" w:rsidP="00F02477">
      <w:pPr>
        <w:rPr>
          <w:i/>
        </w:rPr>
      </w:pPr>
    </w:p>
    <w:p w:rsidR="00FF5A6E" w:rsidRDefault="00FF5A6E" w:rsidP="009533D1">
      <w:pPr>
        <w:jc w:val="both"/>
        <w:rPr>
          <w:i/>
        </w:rPr>
      </w:pPr>
      <w:r>
        <w:rPr>
          <w:i/>
        </w:rPr>
        <w:t xml:space="preserve">Now consider the </w:t>
      </w:r>
      <w:r>
        <w:t>B-</w:t>
      </w:r>
      <w:r>
        <w:rPr>
          <w:i/>
        </w:rPr>
        <w:t xml:space="preserve">quality firm. Unsecured debt will be preferred when </w:t>
      </w:r>
      <w:r w:rsidRPr="007A4573">
        <w:rPr>
          <w:i/>
          <w:position w:val="-12"/>
        </w:rPr>
        <w:object w:dxaOrig="440" w:dyaOrig="380">
          <v:shape id="_x0000_i1068" type="#_x0000_t75" style="width:22.05pt;height:18.8pt" o:ole="">
            <v:imagedata r:id="rId87" o:title=""/>
          </v:shape>
          <o:OLEObject Type="Embed" ProgID="Equation.3" ShapeID="_x0000_i1068" DrawAspect="Content" ObjectID="_1331623431" r:id="rId88"/>
        </w:object>
      </w:r>
      <w:r>
        <w:rPr>
          <w:i/>
        </w:rPr>
        <w:t>&gt;B</w:t>
      </w:r>
      <w:r>
        <w:rPr>
          <w:i/>
          <w:vertAlign w:val="subscript"/>
        </w:rPr>
        <w:t>u</w:t>
      </w:r>
      <w:r>
        <w:rPr>
          <w:i/>
        </w:rPr>
        <w:t xml:space="preserve">, which </w:t>
      </w:r>
      <w:proofErr w:type="gramStart"/>
      <w:r>
        <w:rPr>
          <w:i/>
        </w:rPr>
        <w:t xml:space="preserve">requires </w:t>
      </w:r>
      <w:proofErr w:type="gramEnd"/>
      <w:r w:rsidRPr="00B46A6E">
        <w:rPr>
          <w:i/>
          <w:position w:val="-32"/>
        </w:rPr>
        <w:object w:dxaOrig="7360" w:dyaOrig="760">
          <v:shape id="_x0000_i1069" type="#_x0000_t75" style="width:368.05pt;height:38.15pt" o:ole="">
            <v:imagedata r:id="rId89" o:title=""/>
          </v:shape>
          <o:OLEObject Type="Embed" ProgID="Equation.3" ShapeID="_x0000_i1069" DrawAspect="Content" ObjectID="_1331623432" r:id="rId90"/>
        </w:object>
      </w:r>
      <w:r>
        <w:rPr>
          <w:i/>
        </w:rPr>
        <w:t xml:space="preserve">. After some algebra, this condition holds </w:t>
      </w:r>
      <w:proofErr w:type="gramStart"/>
      <w:r>
        <w:rPr>
          <w:i/>
        </w:rPr>
        <w:t xml:space="preserve">when </w:t>
      </w:r>
      <w:proofErr w:type="gramEnd"/>
      <w:r w:rsidRPr="0071022B">
        <w:rPr>
          <w:i/>
          <w:position w:val="-28"/>
        </w:rPr>
        <w:object w:dxaOrig="3340" w:dyaOrig="680">
          <v:shape id="_x0000_i1070" type="#_x0000_t75" style="width:167.1pt;height:33.85pt" o:ole="">
            <v:imagedata r:id="rId91" o:title=""/>
          </v:shape>
          <o:OLEObject Type="Embed" ProgID="Equation.3" ShapeID="_x0000_i1070" DrawAspect="Content" ObjectID="_1331623433" r:id="rId92"/>
        </w:object>
      </w:r>
      <w:r>
        <w:rPr>
          <w:i/>
        </w:rPr>
        <w:t xml:space="preserve">. This condition does not hold in general. Rewriting this condition, we </w:t>
      </w:r>
      <w:proofErr w:type="gramStart"/>
      <w:r>
        <w:rPr>
          <w:i/>
        </w:rPr>
        <w:t xml:space="preserve">obtain </w:t>
      </w:r>
      <w:proofErr w:type="gramEnd"/>
      <w:r w:rsidRPr="002265EE">
        <w:rPr>
          <w:i/>
          <w:position w:val="-12"/>
        </w:rPr>
        <w:object w:dxaOrig="2520" w:dyaOrig="380">
          <v:shape id="_x0000_i1071" type="#_x0000_t75" style="width:126.25pt;height:18.8pt" o:ole="">
            <v:imagedata r:id="rId93" o:title=""/>
          </v:shape>
          <o:OLEObject Type="Embed" ProgID="Equation.3" ShapeID="_x0000_i1071" DrawAspect="Content" ObjectID="_1331623434" r:id="rId94"/>
        </w:object>
      </w:r>
      <w:r>
        <w:rPr>
          <w:i/>
        </w:rPr>
        <w:t xml:space="preserve">. This tells us that a </w:t>
      </w:r>
      <w:r>
        <w:t>B-</w:t>
      </w:r>
      <w:r>
        <w:rPr>
          <w:i/>
        </w:rPr>
        <w:t xml:space="preserve">quality firm prefers to issue unsecured debt when it is of “moderate” quality; that is, when the payoff to the assets in place in a bad state of the world exceed a threshold value set on the right-hand side of the inequality. Alternatively, </w:t>
      </w:r>
      <w:r>
        <w:t>B-</w:t>
      </w:r>
      <w:r>
        <w:rPr>
          <w:i/>
        </w:rPr>
        <w:t xml:space="preserve">quality firms of particularly “low” quality, i.e., those firms </w:t>
      </w:r>
      <w:proofErr w:type="gramStart"/>
      <w:r>
        <w:rPr>
          <w:i/>
        </w:rPr>
        <w:t xml:space="preserve">with </w:t>
      </w:r>
      <w:proofErr w:type="gramEnd"/>
      <w:r w:rsidRPr="002265EE">
        <w:rPr>
          <w:i/>
          <w:position w:val="-12"/>
        </w:rPr>
        <w:object w:dxaOrig="2500" w:dyaOrig="380">
          <v:shape id="_x0000_i1072" type="#_x0000_t75" style="width:125.2pt;height:18.8pt" o:ole="">
            <v:imagedata r:id="rId95" o:title=""/>
          </v:shape>
          <o:OLEObject Type="Embed" ProgID="Equation.3" ShapeID="_x0000_i1072" DrawAspect="Content" ObjectID="_1331623435" r:id="rId96"/>
        </w:object>
      </w:r>
      <w:r>
        <w:rPr>
          <w:i/>
        </w:rPr>
        <w:t xml:space="preserve">, will prefer secured debt. </w:t>
      </w:r>
    </w:p>
    <w:p w:rsidR="00FF5A6E" w:rsidRDefault="00FF5A6E" w:rsidP="009533D1">
      <w:pPr>
        <w:jc w:val="both"/>
        <w:rPr>
          <w:i/>
        </w:rPr>
      </w:pPr>
    </w:p>
    <w:p w:rsidR="00FF5A6E" w:rsidRDefault="00FF5A6E" w:rsidP="009533D1">
      <w:pPr>
        <w:jc w:val="both"/>
        <w:rPr>
          <w:i/>
        </w:rPr>
      </w:pPr>
      <w:r>
        <w:rPr>
          <w:i/>
        </w:rPr>
        <w:t xml:space="preserve">Finally, it is easy to see that </w:t>
      </w:r>
      <w:r w:rsidRPr="007A4573">
        <w:rPr>
          <w:i/>
          <w:position w:val="-12"/>
        </w:rPr>
        <w:object w:dxaOrig="440" w:dyaOrig="380">
          <v:shape id="_x0000_i1073" type="#_x0000_t75" style="width:22.05pt;height:18.8pt" o:ole="">
            <v:imagedata r:id="rId56" o:title=""/>
          </v:shape>
          <o:OLEObject Type="Embed" ProgID="Equation.3" ShapeID="_x0000_i1073" DrawAspect="Content" ObjectID="_1331623436" r:id="rId97"/>
        </w:object>
      </w:r>
      <w:r>
        <w:rPr>
          <w:i/>
        </w:rPr>
        <w:t>&gt;</w:t>
      </w:r>
      <w:r w:rsidRPr="007A4573">
        <w:rPr>
          <w:i/>
          <w:position w:val="-12"/>
        </w:rPr>
        <w:object w:dxaOrig="440" w:dyaOrig="380">
          <v:shape id="_x0000_i1074" type="#_x0000_t75" style="width:22.05pt;height:18.8pt" o:ole="">
            <v:imagedata r:id="rId98" o:title=""/>
          </v:shape>
          <o:OLEObject Type="Embed" ProgID="Equation.3" ShapeID="_x0000_i1074" DrawAspect="Content" ObjectID="_1331623437" r:id="rId99"/>
        </w:object>
      </w:r>
      <w:r>
        <w:rPr>
          <w:i/>
        </w:rPr>
        <w:t xml:space="preserve">, implying that issuance proceeds are highest for the </w:t>
      </w:r>
      <w:r>
        <w:t>G-</w:t>
      </w:r>
      <w:r>
        <w:rPr>
          <w:i/>
        </w:rPr>
        <w:t xml:space="preserve">quality firm followed by the moderate </w:t>
      </w:r>
      <w:r>
        <w:t>B-</w:t>
      </w:r>
      <w:r>
        <w:rPr>
          <w:i/>
        </w:rPr>
        <w:t>quality firm.</w:t>
      </w:r>
    </w:p>
    <w:p w:rsidR="00FF5A6E" w:rsidRDefault="00FF5A6E" w:rsidP="00F02477">
      <w:pPr>
        <w:rPr>
          <w:i/>
        </w:rPr>
      </w:pPr>
    </w:p>
    <w:p w:rsidR="00FF5A6E" w:rsidRDefault="00FF5A6E" w:rsidP="00F02477">
      <w:pPr>
        <w:rPr>
          <w:i/>
        </w:rPr>
      </w:pPr>
    </w:p>
    <w:p w:rsidR="00FF5A6E" w:rsidRDefault="00FF5A6E" w:rsidP="00F02477">
      <w:pPr>
        <w:rPr>
          <w:i/>
        </w:rPr>
      </w:pPr>
      <w:r>
        <w:rPr>
          <w:b/>
          <w:i/>
          <w:u w:val="single"/>
        </w:rPr>
        <w:t>Proof of Corollary 1</w:t>
      </w:r>
    </w:p>
    <w:p w:rsidR="00FF5A6E" w:rsidRDefault="00FF5A6E" w:rsidP="00F02477">
      <w:pPr>
        <w:rPr>
          <w:i/>
        </w:rPr>
      </w:pPr>
    </w:p>
    <w:p w:rsidR="00FF5A6E" w:rsidRDefault="00FF5A6E" w:rsidP="00D060DD">
      <w:pPr>
        <w:jc w:val="both"/>
        <w:rPr>
          <w:i/>
        </w:rPr>
      </w:pPr>
      <w:r>
        <w:rPr>
          <w:i/>
        </w:rPr>
        <w:t xml:space="preserve">Proof of the corollary requires showing that </w:t>
      </w:r>
      <w:r>
        <w:t>w</w:t>
      </w:r>
      <w:r>
        <w:rPr>
          <w:i/>
        </w:rPr>
        <w:t xml:space="preserve"> creditors of the revealed </w:t>
      </w:r>
      <w:r>
        <w:t>G-</w:t>
      </w:r>
      <w:r>
        <w:rPr>
          <w:i/>
        </w:rPr>
        <w:t xml:space="preserve">quality as well as moderate </w:t>
      </w:r>
      <w:r>
        <w:t>B-</w:t>
      </w:r>
      <w:r>
        <w:rPr>
          <w:i/>
        </w:rPr>
        <w:t xml:space="preserve">quality firm are no worse off than they were prior to the introduction of the </w:t>
      </w:r>
      <w:r>
        <w:t xml:space="preserve">u </w:t>
      </w:r>
      <w:r>
        <w:rPr>
          <w:i/>
        </w:rPr>
        <w:lastRenderedPageBreak/>
        <w:t xml:space="preserve">investment opportunity that is financed with unsecured debt. This amounts to showing </w:t>
      </w:r>
      <w:proofErr w:type="gramStart"/>
      <w:r>
        <w:rPr>
          <w:i/>
        </w:rPr>
        <w:t xml:space="preserve">that </w:t>
      </w:r>
      <w:proofErr w:type="gramEnd"/>
      <w:r w:rsidRPr="002904ED">
        <w:rPr>
          <w:i/>
          <w:position w:val="-32"/>
        </w:rPr>
        <w:object w:dxaOrig="5040" w:dyaOrig="760">
          <v:shape id="_x0000_i1075" type="#_x0000_t75" style="width:252pt;height:38.15pt" o:ole="">
            <v:imagedata r:id="rId100" o:title=""/>
          </v:shape>
          <o:OLEObject Type="Embed" ProgID="Equation.3" ShapeID="_x0000_i1075" DrawAspect="Content" ObjectID="_1331623438" r:id="rId101"/>
        </w:object>
      </w:r>
      <w:r>
        <w:rPr>
          <w:i/>
        </w:rPr>
        <w:t xml:space="preserve">, which holds per conditions established in the proof of proposition 1. A similar argument establishes the same relation in the case of the moderate </w:t>
      </w:r>
      <w:r>
        <w:t>B-</w:t>
      </w:r>
      <w:r>
        <w:rPr>
          <w:i/>
        </w:rPr>
        <w:t xml:space="preserve">quality firm that also prefers to finance </w:t>
      </w:r>
      <w:r>
        <w:t xml:space="preserve">u </w:t>
      </w:r>
      <w:r>
        <w:rPr>
          <w:i/>
        </w:rPr>
        <w:t xml:space="preserve">with unsecured debt. </w:t>
      </w:r>
    </w:p>
    <w:p w:rsidR="00FF5A6E" w:rsidRDefault="00FF5A6E" w:rsidP="00F02477">
      <w:pPr>
        <w:rPr>
          <w:i/>
        </w:rPr>
      </w:pPr>
    </w:p>
    <w:p w:rsidR="00FF5A6E" w:rsidRDefault="00FF5A6E" w:rsidP="00F02477">
      <w:pPr>
        <w:rPr>
          <w:i/>
        </w:rPr>
      </w:pPr>
    </w:p>
    <w:p w:rsidR="00FF5A6E" w:rsidRDefault="00FF5A6E" w:rsidP="00F02477">
      <w:pPr>
        <w:rPr>
          <w:i/>
        </w:rPr>
      </w:pPr>
      <w:r>
        <w:rPr>
          <w:b/>
          <w:i/>
          <w:u w:val="single"/>
        </w:rPr>
        <w:t>Proof of Lemma 1</w:t>
      </w:r>
    </w:p>
    <w:p w:rsidR="00FF5A6E" w:rsidRDefault="00FF5A6E" w:rsidP="00F02477">
      <w:pPr>
        <w:rPr>
          <w:i/>
        </w:rPr>
      </w:pPr>
    </w:p>
    <w:p w:rsidR="00FF5A6E" w:rsidRDefault="00FF5A6E" w:rsidP="009533D1">
      <w:pPr>
        <w:jc w:val="both"/>
        <w:rPr>
          <w:i/>
        </w:rPr>
      </w:pPr>
      <w:r>
        <w:rPr>
          <w:i/>
        </w:rPr>
        <w:t>Given that u</w:t>
      </w:r>
      <w:r>
        <w:rPr>
          <w:i/>
          <w:vertAlign w:val="superscript"/>
        </w:rPr>
        <w:t>H</w:t>
      </w:r>
      <w:r>
        <w:rPr>
          <w:i/>
        </w:rPr>
        <w:t>+u</w:t>
      </w:r>
      <w:r>
        <w:rPr>
          <w:i/>
          <w:vertAlign w:val="superscript"/>
        </w:rPr>
        <w:t>L</w:t>
      </w:r>
      <w:r>
        <w:rPr>
          <w:i/>
        </w:rPr>
        <w:t>&lt;2D</w:t>
      </w:r>
      <w:r>
        <w:rPr>
          <w:i/>
          <w:vertAlign w:val="subscript"/>
        </w:rPr>
        <w:t>u</w:t>
      </w:r>
      <w:r>
        <w:rPr>
          <w:i/>
        </w:rPr>
        <w:t xml:space="preserve"> and that </w:t>
      </w:r>
      <w:r>
        <w:t>G-</w:t>
      </w:r>
      <w:r>
        <w:rPr>
          <w:i/>
        </w:rPr>
        <w:t xml:space="preserve"> and </w:t>
      </w:r>
      <w:r>
        <w:t>B-</w:t>
      </w:r>
      <w:r>
        <w:rPr>
          <w:i/>
        </w:rPr>
        <w:t xml:space="preserve">quality firms are in equal proportion, there will be three default states inferred by the unsecured creditor when firm type is unrevealed. This implies that, given pooling in the unsecured debt market, proceeds from an unsecured issuance </w:t>
      </w:r>
      <w:proofErr w:type="gramStart"/>
      <w:r>
        <w:rPr>
          <w:i/>
        </w:rPr>
        <w:t xml:space="preserve">are </w:t>
      </w:r>
      <w:proofErr w:type="gramEnd"/>
      <w:r w:rsidRPr="00B82E26">
        <w:rPr>
          <w:i/>
          <w:position w:val="-32"/>
        </w:rPr>
        <w:object w:dxaOrig="4720" w:dyaOrig="760">
          <v:shape id="_x0000_i1076" type="#_x0000_t75" style="width:235.9pt;height:38.15pt" o:ole="">
            <v:imagedata r:id="rId102" o:title=""/>
          </v:shape>
          <o:OLEObject Type="Embed" ProgID="Equation.3" ShapeID="_x0000_i1076" DrawAspect="Content" ObjectID="_1331623439" r:id="rId103"/>
        </w:object>
      </w:r>
      <w:r>
        <w:rPr>
          <w:i/>
        </w:rPr>
        <w:t xml:space="preserve">. </w:t>
      </w:r>
      <w:proofErr w:type="gramStart"/>
      <w:r>
        <w:rPr>
          <w:i/>
        </w:rPr>
        <w:t xml:space="preserve">This quantity is clearly lower than proceeds to a known </w:t>
      </w:r>
      <w:r>
        <w:t>G-</w:t>
      </w:r>
      <w:r>
        <w:rPr>
          <w:i/>
        </w:rPr>
        <w:t>quality firm, but are</w:t>
      </w:r>
      <w:proofErr w:type="gramEnd"/>
      <w:r>
        <w:rPr>
          <w:i/>
        </w:rPr>
        <w:t xml:space="preserve"> seen to exceed to </w:t>
      </w:r>
      <w:r w:rsidRPr="007A4573">
        <w:rPr>
          <w:i/>
          <w:position w:val="-12"/>
        </w:rPr>
        <w:object w:dxaOrig="440" w:dyaOrig="380">
          <v:shape id="_x0000_i1077" type="#_x0000_t75" style="width:22.05pt;height:18.8pt" o:ole="">
            <v:imagedata r:id="rId104" o:title=""/>
          </v:shape>
          <o:OLEObject Type="Embed" ProgID="Equation.3" ShapeID="_x0000_i1077" DrawAspect="Content" ObjectID="_1331623440" r:id="rId105"/>
        </w:object>
      </w:r>
      <w:r>
        <w:rPr>
          <w:i/>
        </w:rPr>
        <w:t xml:space="preserve"> in the case of the moderate </w:t>
      </w:r>
      <w:r>
        <w:t>B-</w:t>
      </w:r>
      <w:r>
        <w:rPr>
          <w:i/>
        </w:rPr>
        <w:t>quality firm. They also exceed secured debt issuance proceeds, B</w:t>
      </w:r>
      <w:r>
        <w:rPr>
          <w:i/>
          <w:vertAlign w:val="subscript"/>
        </w:rPr>
        <w:t>u</w:t>
      </w:r>
      <w:r>
        <w:rPr>
          <w:i/>
        </w:rPr>
        <w:t xml:space="preserve">, implying that the </w:t>
      </w:r>
      <w:r>
        <w:t>B-</w:t>
      </w:r>
      <w:r>
        <w:rPr>
          <w:i/>
        </w:rPr>
        <w:t xml:space="preserve">quality firm will have incentives to mimic the </w:t>
      </w:r>
      <w:r>
        <w:t>G-</w:t>
      </w:r>
      <w:r>
        <w:rPr>
          <w:i/>
        </w:rPr>
        <w:t xml:space="preserve">quality firm to cause a pooling equilibrium to occur, and that the </w:t>
      </w:r>
      <w:r>
        <w:t>G-</w:t>
      </w:r>
      <w:r>
        <w:rPr>
          <w:i/>
        </w:rPr>
        <w:t>quality firm is worse off relative to a separating equilibrium.</w:t>
      </w:r>
    </w:p>
    <w:p w:rsidR="00FF5A6E" w:rsidRDefault="00FF5A6E" w:rsidP="00F02477">
      <w:pPr>
        <w:rPr>
          <w:i/>
        </w:rPr>
      </w:pPr>
    </w:p>
    <w:p w:rsidR="00FF5A6E" w:rsidRDefault="00FF5A6E" w:rsidP="00F02477">
      <w:pPr>
        <w:rPr>
          <w:i/>
        </w:rPr>
      </w:pPr>
    </w:p>
    <w:p w:rsidR="00FF5A6E" w:rsidRDefault="00FF5A6E" w:rsidP="00611C10">
      <w:pPr>
        <w:rPr>
          <w:i/>
        </w:rPr>
      </w:pPr>
      <w:r>
        <w:rPr>
          <w:b/>
          <w:i/>
          <w:u w:val="single"/>
        </w:rPr>
        <w:t>Proof of Lemma 2</w:t>
      </w:r>
    </w:p>
    <w:p w:rsidR="00FF5A6E" w:rsidRDefault="00FF5A6E" w:rsidP="00F02477">
      <w:pPr>
        <w:rPr>
          <w:i/>
        </w:rPr>
      </w:pPr>
    </w:p>
    <w:p w:rsidR="00FF5A6E" w:rsidRDefault="00FF5A6E" w:rsidP="009533D1">
      <w:pPr>
        <w:jc w:val="both"/>
        <w:rPr>
          <w:i/>
        </w:rPr>
      </w:pPr>
      <w:r>
        <w:rPr>
          <w:i/>
        </w:rPr>
        <w:t xml:space="preserve">Straightforward. </w:t>
      </w:r>
      <w:r w:rsidRPr="007A4573">
        <w:rPr>
          <w:i/>
          <w:position w:val="-12"/>
        </w:rPr>
        <w:object w:dxaOrig="1060" w:dyaOrig="380">
          <v:shape id="_x0000_i1078" type="#_x0000_t75" style="width:53.2pt;height:18.8pt" o:ole="">
            <v:imagedata r:id="rId106" o:title=""/>
          </v:shape>
          <o:OLEObject Type="Embed" ProgID="Equation.3" ShapeID="_x0000_i1078" DrawAspect="Content" ObjectID="_1331623441" r:id="rId107"/>
        </w:object>
      </w:r>
      <w:r>
        <w:rPr>
          <w:i/>
        </w:rPr>
        <w:t xml:space="preserve"> </w:t>
      </w:r>
      <w:proofErr w:type="gramStart"/>
      <w:r>
        <w:rPr>
          <w:i/>
        </w:rPr>
        <w:t>is</w:t>
      </w:r>
      <w:proofErr w:type="gramEnd"/>
      <w:r>
        <w:rPr>
          <w:i/>
        </w:rPr>
        <w:t xml:space="preserve"> the benefit to the </w:t>
      </w:r>
      <w:r>
        <w:t>G-</w:t>
      </w:r>
      <w:r>
        <w:rPr>
          <w:i/>
        </w:rPr>
        <w:t xml:space="preserve">quality firm for undertaking an action to reveal type. The fixed cost of issuing equity is </w:t>
      </w:r>
      <w:r>
        <w:rPr>
          <w:i/>
        </w:rPr>
        <w:sym w:font="Symbol" w:char="F067"/>
      </w:r>
      <w:r>
        <w:rPr>
          <w:i/>
          <w:vertAlign w:val="subscript"/>
        </w:rPr>
        <w:t>E</w:t>
      </w:r>
      <w:r>
        <w:rPr>
          <w:i/>
        </w:rPr>
        <w:t xml:space="preserve">, and there are no additional costs to committing the equity to insure unsecured creditors in a high-low default state. If the costs to issuing equity exceed the benefits to revealing type, the </w:t>
      </w:r>
      <w:r>
        <w:t>G-</w:t>
      </w:r>
      <w:r>
        <w:rPr>
          <w:i/>
        </w:rPr>
        <w:t xml:space="preserve">quality firm will refrain from issuing equity and a pooling equilibrium results. Otherwise, the </w:t>
      </w:r>
      <w:r>
        <w:t>G-</w:t>
      </w:r>
      <w:r>
        <w:rPr>
          <w:i/>
        </w:rPr>
        <w:t xml:space="preserve">quality firm will consider issuing equity if doing so causes the </w:t>
      </w:r>
      <w:r>
        <w:t>B-</w:t>
      </w:r>
      <w:r>
        <w:rPr>
          <w:i/>
        </w:rPr>
        <w:t>quality firm not to mimic through an identical equity issuance strategy.</w:t>
      </w:r>
    </w:p>
    <w:p w:rsidR="00FF5A6E" w:rsidRDefault="00FF5A6E" w:rsidP="00F02477">
      <w:pPr>
        <w:rPr>
          <w:i/>
        </w:rPr>
      </w:pPr>
    </w:p>
    <w:p w:rsidR="00FF5A6E" w:rsidRDefault="00FF5A6E" w:rsidP="00F02477">
      <w:pPr>
        <w:rPr>
          <w:i/>
        </w:rPr>
      </w:pPr>
    </w:p>
    <w:p w:rsidR="00FF5A6E" w:rsidRDefault="00FF5A6E" w:rsidP="000479A8">
      <w:pPr>
        <w:rPr>
          <w:i/>
        </w:rPr>
      </w:pPr>
      <w:r>
        <w:rPr>
          <w:b/>
          <w:i/>
          <w:u w:val="single"/>
        </w:rPr>
        <w:t>Proof of Proposition 2</w:t>
      </w:r>
    </w:p>
    <w:p w:rsidR="00FF5A6E" w:rsidRDefault="00FF5A6E" w:rsidP="000479A8">
      <w:pPr>
        <w:rPr>
          <w:i/>
        </w:rPr>
      </w:pPr>
    </w:p>
    <w:p w:rsidR="00FF5A6E" w:rsidRDefault="00FF5A6E" w:rsidP="009533D1">
      <w:pPr>
        <w:jc w:val="both"/>
        <w:rPr>
          <w:i/>
        </w:rPr>
      </w:pPr>
      <w:r>
        <w:rPr>
          <w:i/>
        </w:rPr>
        <w:t xml:space="preserve">Given that the </w:t>
      </w:r>
      <w:r>
        <w:t>G-</w:t>
      </w:r>
      <w:r>
        <w:rPr>
          <w:i/>
        </w:rPr>
        <w:t>quality firm has an incentive to issue equity, the only remaining issues are to first establish the number of shares required to cause separation to occur and second to verify that the required number of shares are less than that required to fully insure against default loss in a high-low state.</w:t>
      </w:r>
    </w:p>
    <w:p w:rsidR="00FF5A6E" w:rsidRDefault="00FF5A6E" w:rsidP="009533D1">
      <w:pPr>
        <w:jc w:val="both"/>
        <w:rPr>
          <w:i/>
        </w:rPr>
      </w:pPr>
    </w:p>
    <w:p w:rsidR="00FF5A6E" w:rsidRDefault="00FF5A6E" w:rsidP="009533D1">
      <w:pPr>
        <w:jc w:val="both"/>
      </w:pPr>
      <w:r>
        <w:rPr>
          <w:i/>
        </w:rPr>
        <w:t xml:space="preserve">Establishing the number of shares to issue to cause separation is straightforward. The cost to the </w:t>
      </w:r>
      <w:r>
        <w:t>B-</w:t>
      </w:r>
      <w:r>
        <w:rPr>
          <w:i/>
        </w:rPr>
        <w:t xml:space="preserve">quality firm of issuing equity to insure against default loss in a high-low state is .5E, where E is the number of equity shares issued that pay of 1 to unsecured creditors in a high-low state and zero otherwise. In the case of the moderate </w:t>
      </w:r>
      <w:r>
        <w:t>B-</w:t>
      </w:r>
      <w:r>
        <w:rPr>
          <w:i/>
        </w:rPr>
        <w:t xml:space="preserve">quality firm, the benefit to issuing equity to mimic the </w:t>
      </w:r>
      <w:r>
        <w:t>G-</w:t>
      </w:r>
      <w:r>
        <w:rPr>
          <w:i/>
        </w:rPr>
        <w:t xml:space="preserve">quality firm </w:t>
      </w:r>
      <w:proofErr w:type="gramStart"/>
      <w:r>
        <w:rPr>
          <w:i/>
        </w:rPr>
        <w:t xml:space="preserve">is </w:t>
      </w:r>
      <w:proofErr w:type="gramEnd"/>
      <w:r w:rsidRPr="007A4573">
        <w:rPr>
          <w:i/>
          <w:position w:val="-12"/>
        </w:rPr>
        <w:object w:dxaOrig="1060" w:dyaOrig="380">
          <v:shape id="_x0000_i1079" type="#_x0000_t75" style="width:53.2pt;height:18.8pt" o:ole="">
            <v:imagedata r:id="rId108" o:title=""/>
          </v:shape>
          <o:OLEObject Type="Embed" ProgID="Equation.3" ShapeID="_x0000_i1079" DrawAspect="Content" ObjectID="_1331623442" r:id="rId109"/>
        </w:object>
      </w:r>
      <w:r>
        <w:rPr>
          <w:i/>
        </w:rPr>
        <w:t xml:space="preserve">. The cost of doing so as a function of the number of equity shares issued is </w:t>
      </w:r>
      <w:r>
        <w:rPr>
          <w:i/>
        </w:rPr>
        <w:sym w:font="Symbol" w:char="F067"/>
      </w:r>
      <w:r>
        <w:rPr>
          <w:i/>
          <w:vertAlign w:val="subscript"/>
        </w:rPr>
        <w:t>E</w:t>
      </w:r>
      <w:r>
        <w:rPr>
          <w:i/>
        </w:rPr>
        <w:sym w:font="Symbol" w:char="F02D"/>
      </w:r>
      <w:r>
        <w:rPr>
          <w:i/>
        </w:rPr>
        <w:t xml:space="preserve">.5E. Consequently, the </w:t>
      </w:r>
      <w:r>
        <w:t>G-</w:t>
      </w:r>
      <w:r>
        <w:rPr>
          <w:i/>
        </w:rPr>
        <w:t xml:space="preserve">quality firm will issue in excess of </w:t>
      </w:r>
      <w:r w:rsidRPr="007A4573">
        <w:rPr>
          <w:i/>
          <w:position w:val="-12"/>
        </w:rPr>
        <w:object w:dxaOrig="1760" w:dyaOrig="380">
          <v:shape id="_x0000_i1080" type="#_x0000_t75" style="width:88.1pt;height:18.8pt" o:ole="">
            <v:imagedata r:id="rId110" o:title=""/>
          </v:shape>
          <o:OLEObject Type="Embed" ProgID="Equation.3" ShapeID="_x0000_i1080" DrawAspect="Content" ObjectID="_1331623443" r:id="rId111"/>
        </w:object>
      </w:r>
      <w:r>
        <w:rPr>
          <w:i/>
        </w:rPr>
        <w:t xml:space="preserve"> equity shares to separate, and the moderate </w:t>
      </w:r>
      <w:r>
        <w:t>B-</w:t>
      </w:r>
      <w:r>
        <w:rPr>
          <w:i/>
        </w:rPr>
        <w:t xml:space="preserve">quality firm will issue unsecured debt with proceeds </w:t>
      </w:r>
      <w:proofErr w:type="gramStart"/>
      <w:r>
        <w:rPr>
          <w:i/>
        </w:rPr>
        <w:t xml:space="preserve">of </w:t>
      </w:r>
      <w:proofErr w:type="gramEnd"/>
      <w:r w:rsidRPr="00A01F9F">
        <w:rPr>
          <w:position w:val="-12"/>
        </w:rPr>
        <w:object w:dxaOrig="440" w:dyaOrig="380">
          <v:shape id="_x0000_i1081" type="#_x0000_t75" style="width:22.05pt;height:18.8pt" o:ole="">
            <v:imagedata r:id="rId112" o:title=""/>
          </v:shape>
          <o:OLEObject Type="Embed" ProgID="Equation.3" ShapeID="_x0000_i1081" DrawAspect="Content" ObjectID="_1331623444" r:id="rId113"/>
        </w:object>
      </w:r>
      <w:r>
        <w:t xml:space="preserve">. </w:t>
      </w:r>
      <w:r>
        <w:rPr>
          <w:i/>
        </w:rPr>
        <w:t xml:space="preserve">In the case of the low </w:t>
      </w:r>
      <w:r>
        <w:t>B-</w:t>
      </w:r>
      <w:r>
        <w:rPr>
          <w:i/>
        </w:rPr>
        <w:t xml:space="preserve">quality firm, a similar logic results in the </w:t>
      </w:r>
      <w:r>
        <w:t>G-</w:t>
      </w:r>
      <w:r>
        <w:rPr>
          <w:i/>
        </w:rPr>
        <w:t xml:space="preserve">quality firm issuing </w:t>
      </w:r>
      <w:r w:rsidRPr="00A94268">
        <w:rPr>
          <w:i/>
          <w:position w:val="-12"/>
        </w:rPr>
        <w:object w:dxaOrig="1620" w:dyaOrig="380">
          <v:shape id="_x0000_i1082" type="#_x0000_t75" style="width:81.15pt;height:18.8pt" o:ole="">
            <v:imagedata r:id="rId114" o:title=""/>
          </v:shape>
          <o:OLEObject Type="Embed" ProgID="Equation.3" ShapeID="_x0000_i1082" DrawAspect="Content" ObjectID="_1331623445" r:id="rId115"/>
        </w:object>
      </w:r>
      <w:r>
        <w:rPr>
          <w:i/>
        </w:rPr>
        <w:t xml:space="preserve"> equity shares to separate, and the low </w:t>
      </w:r>
      <w:r>
        <w:t>B-</w:t>
      </w:r>
      <w:r>
        <w:rPr>
          <w:i/>
        </w:rPr>
        <w:t xml:space="preserve">quality firm will issue secured debt with proceeds </w:t>
      </w:r>
      <w:proofErr w:type="gramStart"/>
      <w:r>
        <w:rPr>
          <w:i/>
        </w:rPr>
        <w:t xml:space="preserve">of </w:t>
      </w:r>
      <w:proofErr w:type="gramEnd"/>
      <w:r w:rsidRPr="00A94268">
        <w:rPr>
          <w:position w:val="-12"/>
        </w:rPr>
        <w:object w:dxaOrig="300" w:dyaOrig="360">
          <v:shape id="_x0000_i1083" type="#_x0000_t75" style="width:15.05pt;height:18.25pt" o:ole="">
            <v:imagedata r:id="rId116" o:title=""/>
          </v:shape>
          <o:OLEObject Type="Embed" ProgID="Equation.3" ShapeID="_x0000_i1083" DrawAspect="Content" ObjectID="_1331623446" r:id="rId117"/>
        </w:object>
      </w:r>
      <w:r>
        <w:t xml:space="preserve">. </w:t>
      </w:r>
    </w:p>
    <w:p w:rsidR="00FF5A6E" w:rsidRDefault="00FF5A6E" w:rsidP="009533D1">
      <w:pPr>
        <w:jc w:val="both"/>
      </w:pPr>
    </w:p>
    <w:p w:rsidR="00FF5A6E" w:rsidRPr="002F60E7" w:rsidRDefault="00FF5A6E" w:rsidP="009533D1">
      <w:pPr>
        <w:jc w:val="both"/>
        <w:rPr>
          <w:i/>
        </w:rPr>
      </w:pPr>
      <w:r>
        <w:rPr>
          <w:i/>
        </w:rPr>
        <w:t xml:space="preserve">Conditional on the minimum number of equity shares required to be issued, we must check to make sure that either high-low state is not fully insured at the required minimum level of share issuance. Otherwise, to the extent that a full insurance level has been reached, the cost of equity issuance drops to the issuing </w:t>
      </w:r>
      <w:r>
        <w:t>B-</w:t>
      </w:r>
      <w:r>
        <w:rPr>
          <w:i/>
        </w:rPr>
        <w:t xml:space="preserve">quality firm, thus complicating the analysis. Tedious algebra in both the moderate and low </w:t>
      </w:r>
      <w:r>
        <w:t>B-</w:t>
      </w:r>
      <w:r>
        <w:rPr>
          <w:i/>
        </w:rPr>
        <w:t xml:space="preserve">quality firm cases indeed verifies that the required minimum equity share numbers satisfy the no-full insurance condition. </w:t>
      </w:r>
    </w:p>
    <w:p w:rsidR="00FF5A6E" w:rsidRDefault="00FF5A6E" w:rsidP="00F02477">
      <w:pPr>
        <w:rPr>
          <w:i/>
        </w:rPr>
      </w:pPr>
    </w:p>
    <w:p w:rsidR="00FF5A6E" w:rsidRPr="00634FE0" w:rsidRDefault="00FF5A6E" w:rsidP="00F02477">
      <w:pPr>
        <w:rPr>
          <w:i/>
        </w:rPr>
      </w:pPr>
    </w:p>
    <w:p w:rsidR="00FF5A6E" w:rsidRPr="00B21A46" w:rsidRDefault="00FF5A6E" w:rsidP="00B21A46">
      <w:pPr>
        <w:jc w:val="center"/>
        <w:rPr>
          <w:b/>
        </w:rPr>
      </w:pPr>
      <w:r>
        <w:br w:type="page"/>
      </w:r>
      <w:r>
        <w:rPr>
          <w:b/>
        </w:rPr>
        <w:lastRenderedPageBreak/>
        <w:t>References</w:t>
      </w:r>
    </w:p>
    <w:p w:rsidR="00FF5A6E" w:rsidRDefault="00FF5A6E" w:rsidP="00F02477"/>
    <w:p w:rsidR="00FF5A6E" w:rsidRDefault="00FF5A6E" w:rsidP="00F02477"/>
    <w:p w:rsidR="00FF5A6E" w:rsidRPr="003F4E13" w:rsidRDefault="00FF5A6E" w:rsidP="009533D1">
      <w:pPr>
        <w:autoSpaceDE w:val="0"/>
        <w:autoSpaceDN w:val="0"/>
        <w:adjustRightInd w:val="0"/>
        <w:jc w:val="both"/>
        <w:rPr>
          <w:bCs/>
        </w:rPr>
      </w:pPr>
      <w:r w:rsidRPr="003F4E13">
        <w:rPr>
          <w:bCs/>
        </w:rPr>
        <w:t xml:space="preserve">Agarwal, A., and C. Knoeber, 1996, </w:t>
      </w:r>
      <w:r>
        <w:rPr>
          <w:bCs/>
        </w:rPr>
        <w:t>“</w:t>
      </w:r>
      <w:r w:rsidRPr="003F4E13">
        <w:rPr>
          <w:bCs/>
        </w:rPr>
        <w:t>Firm Performance and Mechanisms to Control Agency Problems between Managers and Shareholders,</w:t>
      </w:r>
      <w:r>
        <w:rPr>
          <w:bCs/>
        </w:rPr>
        <w:t>”</w:t>
      </w:r>
      <w:r w:rsidRPr="003F4E13">
        <w:rPr>
          <w:bCs/>
        </w:rPr>
        <w:t xml:space="preserve"> </w:t>
      </w:r>
      <w:r w:rsidRPr="003F4E13">
        <w:rPr>
          <w:i/>
          <w:iCs/>
        </w:rPr>
        <w:t>Journal of Financial and Quantitative Analysis</w:t>
      </w:r>
      <w:r w:rsidRPr="003F4E13">
        <w:t xml:space="preserve"> 31, 377-397.</w:t>
      </w:r>
    </w:p>
    <w:p w:rsidR="00FF5A6E" w:rsidRPr="003F4E13" w:rsidRDefault="00FF5A6E" w:rsidP="009533D1">
      <w:pPr>
        <w:jc w:val="both"/>
      </w:pPr>
    </w:p>
    <w:p w:rsidR="00FF5A6E" w:rsidRPr="003F4E13" w:rsidRDefault="00FF5A6E" w:rsidP="009533D1">
      <w:pPr>
        <w:autoSpaceDE w:val="0"/>
        <w:autoSpaceDN w:val="0"/>
        <w:adjustRightInd w:val="0"/>
        <w:jc w:val="both"/>
      </w:pPr>
      <w:r w:rsidRPr="003F4E13">
        <w:t>Abadie, A., and G. Imbens, 2002, “Simple and Bias-Corrected Matching Estimators for Average</w:t>
      </w:r>
    </w:p>
    <w:p w:rsidR="00FF5A6E" w:rsidRPr="003F4E13" w:rsidRDefault="00FF5A6E" w:rsidP="009533D1">
      <w:pPr>
        <w:jc w:val="both"/>
      </w:pPr>
      <w:r w:rsidRPr="003F4E13">
        <w:t>Treatment Effects,” NBER Technical Working Paper #0283.</w:t>
      </w:r>
      <w:r w:rsidRPr="003F4E13" w:rsidDel="003F4E13">
        <w:t xml:space="preserve"> </w:t>
      </w:r>
    </w:p>
    <w:p w:rsidR="00FF5A6E" w:rsidRDefault="00FF5A6E" w:rsidP="009533D1">
      <w:pPr>
        <w:jc w:val="both"/>
      </w:pPr>
    </w:p>
    <w:p w:rsidR="00FF5A6E" w:rsidRDefault="00FF5A6E" w:rsidP="009533D1">
      <w:pPr>
        <w:jc w:val="both"/>
      </w:pPr>
      <w:r w:rsidRPr="008640C2">
        <w:t xml:space="preserve">Almeida, H., and M. Campello, 2007, "Financial Constraints, Asset Tangibility, and Corporate Investment," </w:t>
      </w:r>
      <w:r w:rsidRPr="00B41F6C">
        <w:rPr>
          <w:i/>
        </w:rPr>
        <w:t>Review of Financial Studies</w:t>
      </w:r>
      <w:r w:rsidRPr="008640C2">
        <w:t xml:space="preserve"> 20, 1429-1460.</w:t>
      </w:r>
    </w:p>
    <w:p w:rsidR="00FF5A6E" w:rsidRDefault="00FF5A6E" w:rsidP="009533D1">
      <w:pPr>
        <w:jc w:val="both"/>
      </w:pPr>
    </w:p>
    <w:p w:rsidR="00FF5A6E" w:rsidRDefault="00FF5A6E" w:rsidP="009533D1">
      <w:pPr>
        <w:jc w:val="both"/>
      </w:pPr>
      <w:r>
        <w:t xml:space="preserve">Benmelech, Efraim and Nittai K. Bergman, 2009, “Collateral Pricing,” </w:t>
      </w:r>
      <w:r>
        <w:rPr>
          <w:i/>
        </w:rPr>
        <w:t>Journal of Financial Economics</w:t>
      </w:r>
      <w:r>
        <w:t xml:space="preserve"> 91, 339-360.</w:t>
      </w:r>
    </w:p>
    <w:p w:rsidR="00FF5A6E" w:rsidRDefault="00FF5A6E" w:rsidP="009533D1">
      <w:pPr>
        <w:jc w:val="both"/>
      </w:pPr>
    </w:p>
    <w:p w:rsidR="00FF5A6E" w:rsidRDefault="00FF5A6E" w:rsidP="009533D1">
      <w:pPr>
        <w:jc w:val="both"/>
      </w:pPr>
      <w:r w:rsidRPr="008640C2">
        <w:t xml:space="preserve">Bernanke, B., and M. Gertler, 1989, "Agency Costs, Net Worth, and Business Fluctuations," </w:t>
      </w:r>
      <w:r w:rsidRPr="00B41F6C">
        <w:rPr>
          <w:i/>
        </w:rPr>
        <w:t>American Economic Review</w:t>
      </w:r>
      <w:r w:rsidRPr="008640C2">
        <w:t xml:space="preserve"> 79, 14-31.</w:t>
      </w:r>
    </w:p>
    <w:p w:rsidR="00FF5A6E" w:rsidRDefault="00FF5A6E" w:rsidP="009533D1">
      <w:pPr>
        <w:jc w:val="both"/>
      </w:pPr>
    </w:p>
    <w:p w:rsidR="00FF5A6E" w:rsidRDefault="00FF5A6E" w:rsidP="009533D1">
      <w:pPr>
        <w:jc w:val="both"/>
      </w:pPr>
      <w:r>
        <w:t xml:space="preserve">Bester, H., 1985, “Screening vs. Rationing in Credit Markets with Imperfect Information”, </w:t>
      </w:r>
      <w:r>
        <w:rPr>
          <w:i/>
        </w:rPr>
        <w:t xml:space="preserve">American Economic Review </w:t>
      </w:r>
      <w:r>
        <w:t>75, 850-855.</w:t>
      </w:r>
    </w:p>
    <w:p w:rsidR="00FF5A6E" w:rsidRDefault="00FF5A6E" w:rsidP="009533D1">
      <w:pPr>
        <w:jc w:val="both"/>
      </w:pPr>
    </w:p>
    <w:p w:rsidR="00FF5A6E" w:rsidRPr="00854792" w:rsidRDefault="00FF5A6E" w:rsidP="009533D1">
      <w:pPr>
        <w:jc w:val="both"/>
      </w:pPr>
      <w:r>
        <w:t xml:space="preserve">Berger, A., Udell, G., 1990, </w:t>
      </w:r>
      <w:r w:rsidRPr="00854792">
        <w:t>"</w:t>
      </w:r>
      <w:hyperlink r:id="rId118" w:history="1">
        <w:r w:rsidRPr="00854792">
          <w:rPr>
            <w:rStyle w:val="Hyperlink"/>
            <w:bCs/>
            <w:color w:val="auto"/>
            <w:u w:val="none"/>
          </w:rPr>
          <w:t>Collateral, loan quality and bank risk</w:t>
        </w:r>
      </w:hyperlink>
      <w:r w:rsidRPr="00854792">
        <w:t xml:space="preserve">," </w:t>
      </w:r>
      <w:hyperlink r:id="rId119" w:history="1">
        <w:r w:rsidRPr="00854792">
          <w:rPr>
            <w:rStyle w:val="Hyperlink"/>
            <w:i/>
            <w:color w:val="auto"/>
            <w:u w:val="none"/>
          </w:rPr>
          <w:t>Journal of Monetary Economics</w:t>
        </w:r>
      </w:hyperlink>
      <w:r w:rsidRPr="00854792">
        <w:t xml:space="preserve"> 25, 21-42.</w:t>
      </w:r>
    </w:p>
    <w:p w:rsidR="00FF5A6E" w:rsidRDefault="00FF5A6E" w:rsidP="009533D1">
      <w:pPr>
        <w:jc w:val="both"/>
      </w:pPr>
    </w:p>
    <w:p w:rsidR="00FF5A6E" w:rsidRDefault="00FF5A6E" w:rsidP="009533D1">
      <w:pPr>
        <w:jc w:val="both"/>
      </w:pPr>
      <w:r>
        <w:t xml:space="preserve">Boot, A., Thakor, A. and Udell, G., 1991, </w:t>
      </w:r>
      <w:r w:rsidRPr="00E555E0">
        <w:t>"</w:t>
      </w:r>
      <w:hyperlink r:id="rId120" w:history="1">
        <w:r w:rsidRPr="00E555E0">
          <w:rPr>
            <w:rStyle w:val="Hyperlink"/>
            <w:bCs/>
            <w:color w:val="auto"/>
            <w:u w:val="none"/>
          </w:rPr>
          <w:t>Secured Lending and Default Risk: Equilibrium Analysis, Policy Implications and Empirical Results</w:t>
        </w:r>
      </w:hyperlink>
      <w:r>
        <w:t xml:space="preserve">," </w:t>
      </w:r>
      <w:hyperlink r:id="rId121" w:history="1">
        <w:r w:rsidRPr="00E555E0">
          <w:rPr>
            <w:rStyle w:val="Hyperlink"/>
            <w:i/>
            <w:color w:val="auto"/>
            <w:u w:val="none"/>
          </w:rPr>
          <w:t>Economic Journal</w:t>
        </w:r>
      </w:hyperlink>
      <w:r>
        <w:t>, 101, 458-72.</w:t>
      </w:r>
    </w:p>
    <w:p w:rsidR="00FF5A6E" w:rsidRDefault="00FF5A6E" w:rsidP="009533D1">
      <w:pPr>
        <w:jc w:val="both"/>
      </w:pPr>
    </w:p>
    <w:p w:rsidR="00FF5A6E" w:rsidRPr="004C5ED0" w:rsidRDefault="00FF5A6E" w:rsidP="009533D1">
      <w:pPr>
        <w:jc w:val="both"/>
        <w:rPr>
          <w:i/>
        </w:rPr>
      </w:pPr>
      <w:r>
        <w:t xml:space="preserve">Donalson, G., 1961, </w:t>
      </w:r>
      <w:r>
        <w:rPr>
          <w:i/>
        </w:rPr>
        <w:t>Corporate Debt Capacity: A Study of Corporate Debt Policy and the Determination of Corporate Debt Capacity, Boston: Harvard.</w:t>
      </w:r>
    </w:p>
    <w:p w:rsidR="00FF5A6E" w:rsidRDefault="00FF5A6E" w:rsidP="009533D1">
      <w:pPr>
        <w:jc w:val="both"/>
      </w:pPr>
    </w:p>
    <w:p w:rsidR="00FF5A6E" w:rsidRPr="002337A2" w:rsidRDefault="00FF5A6E" w:rsidP="009533D1">
      <w:pPr>
        <w:jc w:val="both"/>
      </w:pPr>
      <w:r w:rsidRPr="002337A2">
        <w:t xml:space="preserve">Easterbrook, F., 1984, </w:t>
      </w:r>
      <w:r>
        <w:t>“</w:t>
      </w:r>
      <w:r w:rsidRPr="002337A2">
        <w:rPr>
          <w:bCs/>
        </w:rPr>
        <w:t>Two Agency-Cost Explanations of Dividends</w:t>
      </w:r>
      <w:r>
        <w:rPr>
          <w:bCs/>
        </w:rPr>
        <w:t xml:space="preserve">”, </w:t>
      </w:r>
      <w:r>
        <w:rPr>
          <w:rFonts w:ascii="Times-Roman" w:hAnsi="Times-Roman" w:cs="Times-Roman"/>
          <w:i/>
        </w:rPr>
        <w:t xml:space="preserve">American Economic Review </w:t>
      </w:r>
      <w:r>
        <w:rPr>
          <w:rFonts w:ascii="Times-Roman" w:hAnsi="Times-Roman" w:cs="Times-Roman"/>
        </w:rPr>
        <w:t>74, 650-659.</w:t>
      </w:r>
    </w:p>
    <w:p w:rsidR="00FF5A6E" w:rsidRDefault="00FF5A6E" w:rsidP="009533D1">
      <w:pPr>
        <w:jc w:val="both"/>
        <w:rPr>
          <w:sz w:val="23"/>
          <w:szCs w:val="23"/>
        </w:rPr>
      </w:pPr>
    </w:p>
    <w:p w:rsidR="00FF5A6E" w:rsidRPr="009E5A24" w:rsidRDefault="00FF5A6E" w:rsidP="009533D1">
      <w:pPr>
        <w:autoSpaceDE w:val="0"/>
        <w:autoSpaceDN w:val="0"/>
        <w:adjustRightInd w:val="0"/>
        <w:jc w:val="both"/>
      </w:pPr>
      <w:r w:rsidRPr="009E5A24">
        <w:t>Erickson, T., Whited, T., 2000</w:t>
      </w:r>
      <w:r>
        <w:t>, “</w:t>
      </w:r>
      <w:r w:rsidRPr="009E5A24">
        <w:t xml:space="preserve">Measurement error and the relationship between investment and </w:t>
      </w:r>
      <w:r w:rsidRPr="009E5A24">
        <w:rPr>
          <w:i/>
        </w:rPr>
        <w:t>q</w:t>
      </w:r>
      <w:r>
        <w:rPr>
          <w:i/>
        </w:rPr>
        <w:t xml:space="preserve">”, </w:t>
      </w:r>
      <w:r w:rsidRPr="004C5ED0">
        <w:rPr>
          <w:i/>
        </w:rPr>
        <w:t>Journal of Political Economy</w:t>
      </w:r>
      <w:r w:rsidRPr="009E5A24">
        <w:t xml:space="preserve"> 108, 1027–1057.</w:t>
      </w:r>
    </w:p>
    <w:p w:rsidR="00FF5A6E" w:rsidRPr="004C5ED0" w:rsidRDefault="00FF5A6E" w:rsidP="009533D1">
      <w:pPr>
        <w:jc w:val="both"/>
        <w:rPr>
          <w:rFonts w:ascii="AdvTimes" w:hAnsi="AdvTimes" w:cs="AdvTimes"/>
        </w:rPr>
      </w:pPr>
    </w:p>
    <w:p w:rsidR="00FF5A6E" w:rsidRDefault="00FF5A6E" w:rsidP="009533D1">
      <w:pPr>
        <w:jc w:val="both"/>
      </w:pPr>
      <w:r>
        <w:t>Gan, J., 2007, “</w:t>
      </w:r>
      <w:r w:rsidRPr="004C5ED0">
        <w:t>Collateral, debt capacity, and corporate investment:</w:t>
      </w:r>
      <w:r>
        <w:t xml:space="preserve"> </w:t>
      </w:r>
      <w:r w:rsidRPr="004C5ED0">
        <w:t>Evidence from a natural experiment</w:t>
      </w:r>
      <w:r>
        <w:t xml:space="preserve">”, </w:t>
      </w:r>
      <w:r>
        <w:rPr>
          <w:i/>
        </w:rPr>
        <w:t>Journal of Financial Economics</w:t>
      </w:r>
      <w:r>
        <w:t xml:space="preserve"> 85, 709-734.</w:t>
      </w:r>
    </w:p>
    <w:p w:rsidR="00FF5A6E" w:rsidRPr="004C5ED0" w:rsidRDefault="00FF5A6E" w:rsidP="009533D1">
      <w:pPr>
        <w:autoSpaceDE w:val="0"/>
        <w:autoSpaceDN w:val="0"/>
        <w:adjustRightInd w:val="0"/>
        <w:jc w:val="both"/>
      </w:pPr>
    </w:p>
    <w:p w:rsidR="00FF5A6E" w:rsidRPr="004C5ED0" w:rsidRDefault="00FF5A6E" w:rsidP="009533D1">
      <w:pPr>
        <w:jc w:val="both"/>
      </w:pPr>
      <w:r w:rsidRPr="004C5ED0">
        <w:t xml:space="preserve">Gentry, W. and C. Mayer, 2008, “What Can We Learn about the Sensitivity of Investment to Stock Prices with a Better Measure of Tobin’s </w:t>
      </w:r>
      <w:r w:rsidRPr="004C5ED0">
        <w:rPr>
          <w:i/>
          <w:iCs/>
        </w:rPr>
        <w:t>q</w:t>
      </w:r>
      <w:r w:rsidRPr="004C5ED0">
        <w:t>?”, Working Paper, Columbia University.</w:t>
      </w:r>
    </w:p>
    <w:p w:rsidR="00FF5A6E" w:rsidRDefault="00FF5A6E" w:rsidP="009533D1">
      <w:pPr>
        <w:jc w:val="both"/>
      </w:pPr>
    </w:p>
    <w:p w:rsidR="00FF5A6E" w:rsidRPr="009E5A24" w:rsidRDefault="00FF5A6E" w:rsidP="009533D1">
      <w:pPr>
        <w:autoSpaceDE w:val="0"/>
        <w:autoSpaceDN w:val="0"/>
        <w:adjustRightInd w:val="0"/>
        <w:jc w:val="both"/>
      </w:pPr>
      <w:r w:rsidRPr="009E5A24">
        <w:t>Harhoff, D., Korting, T., 1998</w:t>
      </w:r>
      <w:r>
        <w:t>, “</w:t>
      </w:r>
      <w:r w:rsidRPr="009E5A24">
        <w:t>Lending relationship in Germany—empirical evidence from survey data</w:t>
      </w:r>
      <w:r>
        <w:t>”,</w:t>
      </w:r>
      <w:r w:rsidRPr="009E5A24">
        <w:t xml:space="preserve"> </w:t>
      </w:r>
      <w:r w:rsidRPr="009E5A24">
        <w:rPr>
          <w:i/>
        </w:rPr>
        <w:t>Journal of Banking and Finance</w:t>
      </w:r>
      <w:r w:rsidRPr="009E5A24">
        <w:t xml:space="preserve"> 22, 1317–1353.</w:t>
      </w:r>
    </w:p>
    <w:p w:rsidR="00FF5A6E" w:rsidRDefault="00FF5A6E" w:rsidP="009533D1">
      <w:pPr>
        <w:autoSpaceDE w:val="0"/>
        <w:autoSpaceDN w:val="0"/>
        <w:adjustRightInd w:val="0"/>
        <w:jc w:val="both"/>
        <w:rPr>
          <w:rFonts w:ascii="AdvTimes" w:hAnsi="AdvTimes" w:cs="AdvTimes"/>
          <w:sz w:val="16"/>
          <w:szCs w:val="16"/>
        </w:rPr>
      </w:pPr>
    </w:p>
    <w:p w:rsidR="00FF5A6E" w:rsidRDefault="00FF5A6E" w:rsidP="009533D1">
      <w:pPr>
        <w:autoSpaceDE w:val="0"/>
        <w:autoSpaceDN w:val="0"/>
        <w:adjustRightInd w:val="0"/>
        <w:jc w:val="both"/>
        <w:rPr>
          <w:rFonts w:ascii="Times-Roman" w:hAnsi="Times-Roman" w:cs="Times-Roman"/>
        </w:rPr>
      </w:pPr>
      <w:r w:rsidRPr="004E53D1">
        <w:rPr>
          <w:rFonts w:ascii="Times-Roman" w:hAnsi="Times-Roman" w:cs="Times-Roman"/>
        </w:rPr>
        <w:lastRenderedPageBreak/>
        <w:t xml:space="preserve">Hartzell, J., L. Sun and S. Titman, 2006, “The Effect of Corporate Governance on Investment: Evidence from Real Estate Investment Trusts,” </w:t>
      </w:r>
      <w:r w:rsidRPr="004E53D1">
        <w:rPr>
          <w:rFonts w:ascii="Times-Italic" w:hAnsi="Times-Italic" w:cs="Times-Italic"/>
          <w:i/>
          <w:iCs/>
        </w:rPr>
        <w:t xml:space="preserve">Real Estate Economics </w:t>
      </w:r>
      <w:r w:rsidRPr="004E53D1">
        <w:rPr>
          <w:rFonts w:ascii="Times-Roman" w:hAnsi="Times-Roman" w:cs="Times-Roman"/>
        </w:rPr>
        <w:t>34, 343–376.</w:t>
      </w:r>
    </w:p>
    <w:p w:rsidR="00FF5A6E" w:rsidRDefault="00FF5A6E" w:rsidP="009533D1">
      <w:pPr>
        <w:autoSpaceDE w:val="0"/>
        <w:autoSpaceDN w:val="0"/>
        <w:adjustRightInd w:val="0"/>
        <w:jc w:val="both"/>
        <w:rPr>
          <w:rFonts w:ascii="Times-Roman" w:hAnsi="Times-Roman" w:cs="Times-Roman"/>
        </w:rPr>
      </w:pPr>
    </w:p>
    <w:p w:rsidR="000237E4" w:rsidRPr="000237E4" w:rsidRDefault="000237E4" w:rsidP="009533D1">
      <w:pPr>
        <w:autoSpaceDE w:val="0"/>
        <w:autoSpaceDN w:val="0"/>
        <w:adjustRightInd w:val="0"/>
        <w:jc w:val="both"/>
        <w:rPr>
          <w:rFonts w:ascii="Times-Roman" w:hAnsi="Times-Roman" w:cs="Times-Roman"/>
        </w:rPr>
      </w:pPr>
      <w:r>
        <w:rPr>
          <w:rFonts w:ascii="Times-Roman" w:hAnsi="Times-Roman" w:cs="Times-Roman"/>
        </w:rPr>
        <w:t xml:space="preserve">Hennessy, C.A., A. Levy and T.M. Whited, 2007, “Testing Q Theory With Financing Frictions,” </w:t>
      </w:r>
      <w:r>
        <w:rPr>
          <w:rFonts w:ascii="Times-Roman" w:hAnsi="Times-Roman" w:cs="Times-Roman"/>
          <w:i/>
        </w:rPr>
        <w:t>Journal of Financial Economics</w:t>
      </w:r>
      <w:r>
        <w:rPr>
          <w:rFonts w:ascii="Times-Roman" w:hAnsi="Times-Roman" w:cs="Times-Roman"/>
        </w:rPr>
        <w:t xml:space="preserve"> 83, 691-717.</w:t>
      </w:r>
    </w:p>
    <w:p w:rsidR="000237E4" w:rsidRDefault="000237E4" w:rsidP="009533D1">
      <w:pPr>
        <w:autoSpaceDE w:val="0"/>
        <w:autoSpaceDN w:val="0"/>
        <w:adjustRightInd w:val="0"/>
        <w:jc w:val="both"/>
        <w:rPr>
          <w:rFonts w:ascii="Times-Roman" w:hAnsi="Times-Roman" w:cs="Times-Roman"/>
        </w:rPr>
      </w:pPr>
    </w:p>
    <w:p w:rsidR="00FF5A6E" w:rsidRPr="002337A2" w:rsidRDefault="00FF5A6E" w:rsidP="009533D1">
      <w:pPr>
        <w:autoSpaceDE w:val="0"/>
        <w:autoSpaceDN w:val="0"/>
        <w:adjustRightInd w:val="0"/>
        <w:jc w:val="both"/>
        <w:rPr>
          <w:rFonts w:ascii="Times-Roman" w:hAnsi="Times-Roman" w:cs="Times-Roman"/>
        </w:rPr>
      </w:pPr>
      <w:r>
        <w:rPr>
          <w:rFonts w:ascii="Times-Roman" w:hAnsi="Times-Roman" w:cs="Times-Roman"/>
        </w:rPr>
        <w:t xml:space="preserve">Jensen, M., 1986, “Agency Cost of Free Cash Flow, Corporate Finance and Takeovers”, </w:t>
      </w:r>
      <w:r>
        <w:rPr>
          <w:rFonts w:ascii="Times-Roman" w:hAnsi="Times-Roman" w:cs="Times-Roman"/>
          <w:i/>
        </w:rPr>
        <w:t xml:space="preserve">American Economic Review </w:t>
      </w:r>
      <w:r>
        <w:rPr>
          <w:rFonts w:ascii="Times-Roman" w:hAnsi="Times-Roman" w:cs="Times-Roman"/>
        </w:rPr>
        <w:t>76, 323-329.</w:t>
      </w:r>
    </w:p>
    <w:p w:rsidR="00FF5A6E" w:rsidRDefault="00FF5A6E" w:rsidP="009533D1">
      <w:pPr>
        <w:jc w:val="both"/>
      </w:pPr>
    </w:p>
    <w:p w:rsidR="00FF5A6E" w:rsidRDefault="00FF5A6E" w:rsidP="009533D1">
      <w:pPr>
        <w:jc w:val="both"/>
      </w:pPr>
      <w:r w:rsidRPr="008640C2">
        <w:t>Kiyotaki, N., and J. Moore, 1997, "Credit Cycles"</w:t>
      </w:r>
      <w:r>
        <w:t>,</w:t>
      </w:r>
      <w:r w:rsidRPr="008640C2">
        <w:t xml:space="preserve"> </w:t>
      </w:r>
      <w:r w:rsidRPr="00B41F6C">
        <w:rPr>
          <w:i/>
        </w:rPr>
        <w:t>Journal of Political Economy</w:t>
      </w:r>
      <w:r w:rsidRPr="008640C2">
        <w:t xml:space="preserve"> 105, 211-48.</w:t>
      </w:r>
    </w:p>
    <w:p w:rsidR="00FF5A6E" w:rsidRDefault="00FF5A6E" w:rsidP="009533D1">
      <w:pPr>
        <w:pStyle w:val="NormalWeb"/>
        <w:jc w:val="both"/>
      </w:pPr>
      <w:r w:rsidRPr="003F4E13">
        <w:t xml:space="preserve">McConnell, J. and H. Servaes, 1995, </w:t>
      </w:r>
      <w:r>
        <w:t>“</w:t>
      </w:r>
      <w:r w:rsidRPr="003F4E13">
        <w:t xml:space="preserve">Equity </w:t>
      </w:r>
      <w:r>
        <w:t>O</w:t>
      </w:r>
      <w:r w:rsidRPr="003F4E13">
        <w:t xml:space="preserve">wnership and the </w:t>
      </w:r>
      <w:r>
        <w:t>T</w:t>
      </w:r>
      <w:r w:rsidRPr="003F4E13">
        <w:t xml:space="preserve">wo </w:t>
      </w:r>
      <w:r>
        <w:t>F</w:t>
      </w:r>
      <w:r w:rsidRPr="003F4E13">
        <w:t xml:space="preserve">aces of </w:t>
      </w:r>
      <w:r>
        <w:t>D</w:t>
      </w:r>
      <w:r w:rsidRPr="003F4E13">
        <w:t>ebt,</w:t>
      </w:r>
      <w:r>
        <w:t>”</w:t>
      </w:r>
      <w:r w:rsidRPr="003F4E13">
        <w:t xml:space="preserve"> </w:t>
      </w:r>
      <w:r>
        <w:rPr>
          <w:i/>
        </w:rPr>
        <w:t xml:space="preserve">Journal of Financial Economics </w:t>
      </w:r>
      <w:r>
        <w:t>39</w:t>
      </w:r>
      <w:r w:rsidRPr="003F4E13">
        <w:t>, 131-157</w:t>
      </w:r>
      <w:r>
        <w:t>.</w:t>
      </w:r>
    </w:p>
    <w:p w:rsidR="00FF5A6E" w:rsidRPr="003F4E13" w:rsidRDefault="00FF5A6E" w:rsidP="009533D1">
      <w:pPr>
        <w:pStyle w:val="NormalWeb"/>
        <w:jc w:val="both"/>
      </w:pPr>
      <w:r>
        <w:t xml:space="preserve">Myers, S., and N. Majluf, 1984, “Corporate Financing and Investment Decisions when Firms have Information that Investors do not have”, </w:t>
      </w:r>
      <w:r w:rsidRPr="003F4E13">
        <w:rPr>
          <w:i/>
        </w:rPr>
        <w:t>Journal of Financial Economics</w:t>
      </w:r>
      <w:r w:rsidRPr="003F4E13">
        <w:t xml:space="preserve"> 1</w:t>
      </w:r>
      <w:r>
        <w:t>3</w:t>
      </w:r>
      <w:r w:rsidRPr="003F4E13">
        <w:t xml:space="preserve">, </w:t>
      </w:r>
      <w:r>
        <w:t>187</w:t>
      </w:r>
      <w:r w:rsidRPr="003F4E13">
        <w:t>-</w:t>
      </w:r>
      <w:r>
        <w:t>221</w:t>
      </w:r>
      <w:r w:rsidRPr="003F4E13">
        <w:t>.</w:t>
      </w:r>
    </w:p>
    <w:p w:rsidR="00FF5A6E" w:rsidRDefault="00FF5A6E" w:rsidP="009533D1">
      <w:pPr>
        <w:jc w:val="both"/>
      </w:pPr>
      <w:r w:rsidRPr="008640C2">
        <w:t xml:space="preserve">Myers, S., and R. Rajan, 1998, "The Paradox of Liquidity," </w:t>
      </w:r>
      <w:r w:rsidRPr="00B41F6C">
        <w:rPr>
          <w:i/>
        </w:rPr>
        <w:t>Quarterly Journal of Economics</w:t>
      </w:r>
      <w:r w:rsidRPr="008640C2">
        <w:t xml:space="preserve"> 113, 733-771.</w:t>
      </w:r>
    </w:p>
    <w:p w:rsidR="00FF5A6E" w:rsidRDefault="00FF5A6E" w:rsidP="009533D1">
      <w:pPr>
        <w:jc w:val="both"/>
      </w:pPr>
    </w:p>
    <w:p w:rsidR="00FF5A6E" w:rsidRPr="00DB1988" w:rsidRDefault="00FF5A6E" w:rsidP="009533D1">
      <w:pPr>
        <w:jc w:val="both"/>
      </w:pPr>
      <w:r w:rsidRPr="00DB1988">
        <w:t xml:space="preserve">Rajan, R.G., and L. Zingales, 1995, "What Do We Know about Capital Structure? Some Evidence from International Data," </w:t>
      </w:r>
      <w:r w:rsidRPr="00B41F6C">
        <w:rPr>
          <w:i/>
        </w:rPr>
        <w:t>Journal of Finance</w:t>
      </w:r>
      <w:r w:rsidRPr="00DB1988">
        <w:t xml:space="preserve"> 50, 1421-1460.</w:t>
      </w:r>
    </w:p>
    <w:p w:rsidR="00FF5A6E" w:rsidRDefault="00FF5A6E" w:rsidP="009533D1">
      <w:pPr>
        <w:jc w:val="both"/>
      </w:pPr>
    </w:p>
    <w:p w:rsidR="00FF5A6E" w:rsidRPr="009E5A24" w:rsidRDefault="00FF5A6E" w:rsidP="009533D1">
      <w:pPr>
        <w:jc w:val="both"/>
      </w:pPr>
      <w:r w:rsidRPr="009E5A24">
        <w:t>Rajan, R., Winton, A., 1995</w:t>
      </w:r>
      <w:r>
        <w:t>, “</w:t>
      </w:r>
      <w:r w:rsidRPr="009E5A24">
        <w:t>Covenants and collateral as incentive to monitor</w:t>
      </w:r>
      <w:r>
        <w:t xml:space="preserve">”, </w:t>
      </w:r>
      <w:r w:rsidRPr="009E5A24">
        <w:rPr>
          <w:i/>
        </w:rPr>
        <w:t xml:space="preserve">Journal of Finance </w:t>
      </w:r>
      <w:r w:rsidRPr="009E5A24">
        <w:t>50, 1113–1146.</w:t>
      </w:r>
    </w:p>
    <w:p w:rsidR="00FF5A6E" w:rsidRDefault="00FF5A6E" w:rsidP="009533D1">
      <w:pPr>
        <w:jc w:val="both"/>
        <w:rPr>
          <w:rFonts w:ascii="AdvTimes" w:hAnsi="AdvTimes" w:cs="AdvTimes"/>
          <w:sz w:val="16"/>
          <w:szCs w:val="16"/>
        </w:rPr>
      </w:pPr>
    </w:p>
    <w:p w:rsidR="00FF5A6E" w:rsidRPr="004E53D1" w:rsidRDefault="00FF5A6E" w:rsidP="009533D1">
      <w:pPr>
        <w:jc w:val="both"/>
      </w:pPr>
      <w:r w:rsidRPr="004E53D1">
        <w:rPr>
          <w:rStyle w:val="Emphasis"/>
          <w:b w:val="0"/>
          <w:color w:val="000000"/>
        </w:rPr>
        <w:t>Riddiough, T</w:t>
      </w:r>
      <w:r w:rsidRPr="004E53D1">
        <w:rPr>
          <w:color w:val="000000"/>
        </w:rPr>
        <w:t xml:space="preserve"> and Z. </w:t>
      </w:r>
      <w:r w:rsidRPr="004E53D1">
        <w:rPr>
          <w:rStyle w:val="Emphasis"/>
          <w:b w:val="0"/>
          <w:color w:val="000000"/>
        </w:rPr>
        <w:t>Wu</w:t>
      </w:r>
      <w:r w:rsidRPr="004E53D1">
        <w:rPr>
          <w:color w:val="000000"/>
        </w:rPr>
        <w:t xml:space="preserve">, 2009, “Financial Constraints, Liquidity Management, and Investment,” </w:t>
      </w:r>
      <w:r w:rsidRPr="004E53D1">
        <w:rPr>
          <w:i/>
          <w:color w:val="000000"/>
        </w:rPr>
        <w:t>Real Estate Economics</w:t>
      </w:r>
      <w:r w:rsidRPr="004E53D1">
        <w:rPr>
          <w:color w:val="000000"/>
        </w:rPr>
        <w:t xml:space="preserve"> 37, 447-471.</w:t>
      </w:r>
    </w:p>
    <w:p w:rsidR="00FF5A6E" w:rsidRDefault="00FF5A6E" w:rsidP="009533D1">
      <w:pPr>
        <w:jc w:val="both"/>
      </w:pPr>
    </w:p>
    <w:p w:rsidR="00FF5A6E" w:rsidRDefault="00FF5A6E" w:rsidP="009533D1">
      <w:pPr>
        <w:jc w:val="both"/>
      </w:pPr>
      <w:r w:rsidRPr="003F4E13">
        <w:t xml:space="preserve">Stulz, R., and H. Johnson, 1985, "An Analysis of Secured Debt," </w:t>
      </w:r>
      <w:r w:rsidRPr="003F4E13">
        <w:rPr>
          <w:i/>
        </w:rPr>
        <w:t>Journal of Financial Economics</w:t>
      </w:r>
      <w:r w:rsidRPr="003F4E13">
        <w:t xml:space="preserve"> 14, 501-522.</w:t>
      </w:r>
    </w:p>
    <w:p w:rsidR="00FF5A6E" w:rsidRDefault="00FF5A6E" w:rsidP="009533D1">
      <w:pPr>
        <w:jc w:val="both"/>
      </w:pPr>
    </w:p>
    <w:p w:rsidR="00FF5A6E" w:rsidRPr="00854792" w:rsidRDefault="00FF5A6E" w:rsidP="009533D1">
      <w:pPr>
        <w:pStyle w:val="FootnoteText"/>
        <w:jc w:val="both"/>
        <w:rPr>
          <w:sz w:val="24"/>
          <w:szCs w:val="24"/>
        </w:rPr>
      </w:pPr>
      <w:r w:rsidRPr="00854792">
        <w:rPr>
          <w:sz w:val="24"/>
          <w:szCs w:val="24"/>
        </w:rPr>
        <w:t xml:space="preserve">World </w:t>
      </w:r>
      <w:r>
        <w:rPr>
          <w:sz w:val="24"/>
          <w:szCs w:val="24"/>
        </w:rPr>
        <w:t>B</w:t>
      </w:r>
      <w:r w:rsidRPr="00854792">
        <w:rPr>
          <w:sz w:val="24"/>
          <w:szCs w:val="24"/>
        </w:rPr>
        <w:t>ank</w:t>
      </w:r>
      <w:r w:rsidR="0075270D">
        <w:rPr>
          <w:sz w:val="24"/>
          <w:szCs w:val="24"/>
        </w:rPr>
        <w:t>,</w:t>
      </w:r>
      <w:r w:rsidRPr="00854792">
        <w:rPr>
          <w:sz w:val="24"/>
          <w:szCs w:val="24"/>
        </w:rPr>
        <w:t xml:space="preserve"> Investment Climate Survey at </w:t>
      </w:r>
      <w:hyperlink r:id="rId122" w:history="1">
        <w:r w:rsidR="0075270D" w:rsidRPr="0075270D">
          <w:rPr>
            <w:rStyle w:val="Hyperlink"/>
            <w:sz w:val="24"/>
            <w:szCs w:val="24"/>
          </w:rPr>
          <w:t>http://ireserach.worldbank.org/ics/jsp/index.jsp</w:t>
        </w:r>
      </w:hyperlink>
      <w:r w:rsidR="0075270D" w:rsidRPr="0075270D">
        <w:rPr>
          <w:sz w:val="24"/>
          <w:szCs w:val="24"/>
        </w:rPr>
        <w:t xml:space="preserve">. </w:t>
      </w:r>
      <w:r w:rsidRPr="0075270D">
        <w:rPr>
          <w:sz w:val="24"/>
          <w:szCs w:val="24"/>
        </w:rPr>
        <w:t xml:space="preserve">  </w:t>
      </w:r>
      <w:r w:rsidRPr="00854792">
        <w:rPr>
          <w:sz w:val="24"/>
          <w:szCs w:val="24"/>
        </w:rPr>
        <w:t xml:space="preserve"> </w:t>
      </w:r>
    </w:p>
    <w:p w:rsidR="007124F0" w:rsidRPr="00F02477" w:rsidRDefault="00FF5A6E" w:rsidP="009533D1">
      <w:pPr>
        <w:jc w:val="both"/>
      </w:pPr>
      <w:r w:rsidRPr="003F4E13">
        <w:br w:type="page"/>
      </w:r>
      <w:r w:rsidR="007124F0" w:rsidRPr="00F02477">
        <w:lastRenderedPageBreak/>
        <w:t>Table 1 – REIT and COMPUSTAT Samples</w:t>
      </w:r>
    </w:p>
    <w:p w:rsidR="007124F0" w:rsidRPr="00F02477" w:rsidRDefault="007124F0" w:rsidP="007124F0"/>
    <w:p w:rsidR="007124F0" w:rsidRPr="00F02477" w:rsidRDefault="007124F0" w:rsidP="007124F0">
      <w:pPr>
        <w:jc w:val="both"/>
        <w:rPr>
          <w:rFonts w:cs="dcr10"/>
          <w:sz w:val="22"/>
          <w:szCs w:val="22"/>
        </w:rPr>
      </w:pPr>
      <w:r w:rsidRPr="00F02477">
        <w:rPr>
          <w:sz w:val="22"/>
          <w:szCs w:val="22"/>
        </w:rPr>
        <w:t xml:space="preserve">This table compares the capital structure of the equity REITs used in this paper with a sample of industrial firms from COMPUSTAT tapes over the sample period 1991-2007. The REIT sample includes residential, retail, office, and industrial REITs. The COMPUSTAT sample includes all firms, except financial, governmental firms, and utilities. Variable Definitions for the REIT Sample:  </w:t>
      </w:r>
      <w:r w:rsidRPr="00F02477">
        <w:rPr>
          <w:rFonts w:cs="dcr10"/>
          <w:i/>
          <w:sz w:val="22"/>
          <w:szCs w:val="22"/>
        </w:rPr>
        <w:t>SecuredMarketLeverage</w:t>
      </w:r>
      <w:r w:rsidRPr="00F02477">
        <w:rPr>
          <w:rFonts w:cs="dcr10"/>
          <w:sz w:val="22"/>
          <w:szCs w:val="22"/>
        </w:rPr>
        <w:t>, the ratio of secured plus mezzanine debt (SNL item #6146 + item #18081) to the market value of total assets (item #220 – item #3799 + item#6111</w:t>
      </w:r>
      <w:r w:rsidRPr="00F02477">
        <w:rPr>
          <w:rFonts w:cs="Arial"/>
          <w:sz w:val="22"/>
          <w:szCs w:val="22"/>
        </w:rPr>
        <w:sym w:font="Symbol" w:char="F0B4"/>
      </w:r>
      <w:r w:rsidRPr="00F02477">
        <w:rPr>
          <w:rFonts w:cs="dcr10"/>
          <w:sz w:val="22"/>
          <w:szCs w:val="22"/>
        </w:rPr>
        <w:t xml:space="preserve">1000); </w:t>
      </w:r>
      <w:r w:rsidRPr="00F02477">
        <w:rPr>
          <w:rFonts w:cs="dcr10"/>
          <w:i/>
          <w:sz w:val="22"/>
          <w:szCs w:val="22"/>
        </w:rPr>
        <w:t>SecuredBookLeverage</w:t>
      </w:r>
      <w:r w:rsidRPr="00F02477">
        <w:rPr>
          <w:rFonts w:cs="dcr10"/>
          <w:sz w:val="22"/>
          <w:szCs w:val="22"/>
        </w:rPr>
        <w:t xml:space="preserve">, the ratio of secured plus mezzanine debt (SNL item #6146 + item #18081) to the book value of total assets; </w:t>
      </w:r>
      <w:r w:rsidRPr="00F02477">
        <w:rPr>
          <w:rFonts w:cs="dcr10"/>
          <w:i/>
          <w:sz w:val="22"/>
          <w:szCs w:val="22"/>
        </w:rPr>
        <w:t>SecuredDebt</w:t>
      </w:r>
      <w:r w:rsidRPr="00F02477">
        <w:rPr>
          <w:rFonts w:cs="dcr10"/>
          <w:sz w:val="22"/>
          <w:szCs w:val="22"/>
        </w:rPr>
        <w:t xml:space="preserve">, the ratio of secured plus mezzanine debt to total liabilities plus mezzanine debt (SNL item #18081 + item #18083); </w:t>
      </w:r>
      <w:r w:rsidRPr="00F02477">
        <w:rPr>
          <w:rFonts w:cs="dcr10"/>
          <w:i/>
          <w:sz w:val="22"/>
          <w:szCs w:val="22"/>
        </w:rPr>
        <w:t>MarketLeverage</w:t>
      </w:r>
      <w:r w:rsidRPr="00F02477">
        <w:rPr>
          <w:rFonts w:cs="dcr10"/>
          <w:sz w:val="22"/>
          <w:szCs w:val="22"/>
        </w:rPr>
        <w:t xml:space="preserve">, the ratio of total liabilities plus mezzanine debt to the market value of total assets; </w:t>
      </w:r>
      <w:r w:rsidRPr="00F02477">
        <w:rPr>
          <w:rFonts w:cs="dcr10"/>
          <w:i/>
          <w:sz w:val="22"/>
          <w:szCs w:val="22"/>
        </w:rPr>
        <w:t>BookLeverage</w:t>
      </w:r>
      <w:r w:rsidRPr="00F02477">
        <w:rPr>
          <w:rFonts w:cs="dcr10"/>
          <w:sz w:val="22"/>
          <w:szCs w:val="22"/>
        </w:rPr>
        <w:t>, the ratio of total liabilities plus mezzanine debt to the book value of total assets</w:t>
      </w:r>
      <w:r w:rsidRPr="00F02477">
        <w:rPr>
          <w:sz w:val="22"/>
          <w:szCs w:val="22"/>
        </w:rPr>
        <w:t xml:space="preserve">. Variable Definitions for the COMPUSTAT Sample: </w:t>
      </w:r>
      <w:r w:rsidRPr="00F02477">
        <w:rPr>
          <w:rFonts w:cs="dcr10"/>
          <w:i/>
          <w:sz w:val="22"/>
          <w:szCs w:val="22"/>
        </w:rPr>
        <w:t xml:space="preserve">SecuredMarketLeverage, </w:t>
      </w:r>
      <w:r w:rsidRPr="00F02477">
        <w:rPr>
          <w:rFonts w:cs="dcr10"/>
          <w:sz w:val="22"/>
          <w:szCs w:val="22"/>
        </w:rPr>
        <w:t>the ratio of secured debt (COMPUSTAT item #241) to the market value of total assets, or (item #6 – item #60 + item#199</w:t>
      </w:r>
      <w:r w:rsidRPr="00F02477">
        <w:rPr>
          <w:rFonts w:cs="Arial"/>
          <w:sz w:val="22"/>
          <w:szCs w:val="22"/>
        </w:rPr>
        <w:sym w:font="Symbol" w:char="F0B4"/>
      </w:r>
      <w:r w:rsidRPr="00F02477">
        <w:rPr>
          <w:rFonts w:cs="dcr10"/>
          <w:sz w:val="22"/>
          <w:szCs w:val="22"/>
        </w:rPr>
        <w:t xml:space="preserve">item#54); </w:t>
      </w:r>
      <w:r w:rsidRPr="00F02477">
        <w:rPr>
          <w:rFonts w:cs="dcr10"/>
          <w:i/>
          <w:sz w:val="22"/>
          <w:szCs w:val="22"/>
        </w:rPr>
        <w:t>SecuredBookLeverage</w:t>
      </w:r>
      <w:r w:rsidRPr="00F02477">
        <w:rPr>
          <w:rFonts w:cs="dcr10"/>
          <w:sz w:val="22"/>
          <w:szCs w:val="22"/>
        </w:rPr>
        <w:t xml:space="preserve">, the ratio of secured debt (item #241) to the book value of total assets (item #6). </w:t>
      </w:r>
      <w:r w:rsidRPr="00F02477">
        <w:rPr>
          <w:rFonts w:cs="dcr10"/>
          <w:i/>
          <w:sz w:val="22"/>
          <w:szCs w:val="22"/>
        </w:rPr>
        <w:t>SecuredDebt</w:t>
      </w:r>
      <w:r w:rsidRPr="00F02477">
        <w:rPr>
          <w:rFonts w:cs="dcr10"/>
          <w:sz w:val="22"/>
          <w:szCs w:val="22"/>
        </w:rPr>
        <w:t xml:space="preserve">, the ratio of secured debt to total liabilities (item #9 + item #34); </w:t>
      </w:r>
      <w:r w:rsidRPr="00F02477">
        <w:rPr>
          <w:rFonts w:cs="dcr10"/>
          <w:i/>
          <w:sz w:val="22"/>
          <w:szCs w:val="22"/>
        </w:rPr>
        <w:t>MarketLeverage</w:t>
      </w:r>
      <w:r w:rsidRPr="00F02477">
        <w:rPr>
          <w:rFonts w:cs="dcr10"/>
          <w:sz w:val="22"/>
          <w:szCs w:val="22"/>
        </w:rPr>
        <w:t xml:space="preserve">, the ratio of total liabilities to the market value of total assets; </w:t>
      </w:r>
      <w:r w:rsidRPr="00F02477">
        <w:rPr>
          <w:rFonts w:cs="dcr10"/>
          <w:i/>
          <w:sz w:val="22"/>
          <w:szCs w:val="22"/>
        </w:rPr>
        <w:t>BookLeverage</w:t>
      </w:r>
      <w:r w:rsidRPr="00F02477">
        <w:rPr>
          <w:rFonts w:cs="dcr10"/>
          <w:sz w:val="22"/>
          <w:szCs w:val="22"/>
        </w:rPr>
        <w:t xml:space="preserve">, the ratio of total liabilities to the book value of total assets. </w:t>
      </w:r>
    </w:p>
    <w:p w:rsidR="007124F0" w:rsidRPr="00F02477" w:rsidRDefault="007124F0" w:rsidP="007124F0">
      <w:pPr>
        <w:jc w:val="both"/>
      </w:pPr>
    </w:p>
    <w:tbl>
      <w:tblPr>
        <w:tblW w:w="9368" w:type="dxa"/>
        <w:tblLook w:val="0000"/>
      </w:tblPr>
      <w:tblGrid>
        <w:gridCol w:w="2379"/>
        <w:gridCol w:w="1272"/>
        <w:gridCol w:w="1172"/>
        <w:gridCol w:w="1021"/>
        <w:gridCol w:w="236"/>
        <w:gridCol w:w="1204"/>
        <w:gridCol w:w="1260"/>
        <w:gridCol w:w="900"/>
      </w:tblGrid>
      <w:tr w:rsidR="007124F0" w:rsidRPr="00782D51" w:rsidTr="007124F0">
        <w:trPr>
          <w:trHeight w:val="264"/>
        </w:trPr>
        <w:tc>
          <w:tcPr>
            <w:tcW w:w="2303" w:type="dxa"/>
            <w:tcBorders>
              <w:top w:val="double" w:sz="4" w:space="0" w:color="auto"/>
            </w:tcBorders>
            <w:noWrap/>
            <w:vAlign w:val="bottom"/>
          </w:tcPr>
          <w:p w:rsidR="007124F0" w:rsidRPr="00782D51" w:rsidRDefault="007124F0" w:rsidP="007124F0">
            <w:pPr>
              <w:rPr>
                <w:rFonts w:cs="Arial"/>
                <w:sz w:val="22"/>
                <w:szCs w:val="22"/>
              </w:rPr>
            </w:pPr>
          </w:p>
          <w:p w:rsidR="007124F0" w:rsidRPr="00782D51" w:rsidRDefault="007124F0" w:rsidP="007124F0">
            <w:pPr>
              <w:rPr>
                <w:rFonts w:cs="Arial"/>
                <w:sz w:val="22"/>
                <w:szCs w:val="22"/>
              </w:rPr>
            </w:pPr>
            <w:r w:rsidRPr="00782D51">
              <w:rPr>
                <w:rFonts w:cs="Arial"/>
                <w:sz w:val="22"/>
                <w:szCs w:val="22"/>
              </w:rPr>
              <w:t>Variable</w:t>
            </w:r>
          </w:p>
        </w:tc>
        <w:tc>
          <w:tcPr>
            <w:tcW w:w="3465" w:type="dxa"/>
            <w:gridSpan w:val="3"/>
            <w:tcBorders>
              <w:top w:val="doub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REIT Sample</w:t>
            </w:r>
          </w:p>
        </w:tc>
        <w:tc>
          <w:tcPr>
            <w:tcW w:w="236" w:type="dxa"/>
            <w:tcBorders>
              <w:top w:val="double" w:sz="4" w:space="0" w:color="auto"/>
            </w:tcBorders>
            <w:vAlign w:val="bottom"/>
          </w:tcPr>
          <w:p w:rsidR="007124F0" w:rsidRPr="00782D51" w:rsidRDefault="007124F0" w:rsidP="007124F0">
            <w:pPr>
              <w:jc w:val="center"/>
              <w:rPr>
                <w:rFonts w:cs="Arial"/>
                <w:sz w:val="22"/>
                <w:szCs w:val="22"/>
              </w:rPr>
            </w:pPr>
          </w:p>
        </w:tc>
        <w:tc>
          <w:tcPr>
            <w:tcW w:w="3364" w:type="dxa"/>
            <w:gridSpan w:val="3"/>
            <w:tcBorders>
              <w:top w:val="double" w:sz="4" w:space="0" w:color="auto"/>
              <w:bottom w:val="single" w:sz="4" w:space="0" w:color="auto"/>
            </w:tcBorders>
            <w:vAlign w:val="bottom"/>
          </w:tcPr>
          <w:p w:rsidR="007124F0" w:rsidRPr="00782D51" w:rsidRDefault="007124F0" w:rsidP="007124F0">
            <w:pPr>
              <w:jc w:val="center"/>
              <w:rPr>
                <w:rFonts w:cs="Arial"/>
                <w:sz w:val="22"/>
                <w:szCs w:val="22"/>
              </w:rPr>
            </w:pPr>
            <w:r w:rsidRPr="00782D51">
              <w:rPr>
                <w:rFonts w:cs="Arial"/>
                <w:sz w:val="22"/>
                <w:szCs w:val="22"/>
              </w:rPr>
              <w:t>COMPUSTAT Sample</w:t>
            </w:r>
          </w:p>
        </w:tc>
      </w:tr>
      <w:tr w:rsidR="007124F0" w:rsidRPr="00782D51" w:rsidTr="007124F0">
        <w:trPr>
          <w:trHeight w:val="264"/>
        </w:trPr>
        <w:tc>
          <w:tcPr>
            <w:tcW w:w="2303" w:type="dxa"/>
            <w:tcBorders>
              <w:bottom w:val="single" w:sz="4" w:space="0" w:color="auto"/>
            </w:tcBorders>
            <w:noWrap/>
            <w:vAlign w:val="bottom"/>
          </w:tcPr>
          <w:p w:rsidR="007124F0" w:rsidRPr="00782D51" w:rsidRDefault="007124F0" w:rsidP="007124F0">
            <w:pPr>
              <w:jc w:val="center"/>
              <w:rPr>
                <w:rFonts w:cs="Arial"/>
                <w:sz w:val="22"/>
                <w:szCs w:val="22"/>
              </w:rPr>
            </w:pPr>
          </w:p>
        </w:tc>
        <w:tc>
          <w:tcPr>
            <w:tcW w:w="1272" w:type="dxa"/>
            <w:tcBorders>
              <w:top w:val="sing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Mean</w:t>
            </w:r>
          </w:p>
        </w:tc>
        <w:tc>
          <w:tcPr>
            <w:tcW w:w="1172" w:type="dxa"/>
            <w:tcBorders>
              <w:top w:val="sing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Median</w:t>
            </w:r>
          </w:p>
        </w:tc>
        <w:tc>
          <w:tcPr>
            <w:tcW w:w="1021" w:type="dxa"/>
            <w:tcBorders>
              <w:top w:val="single" w:sz="4" w:space="0" w:color="auto"/>
              <w:bottom w:val="single" w:sz="4" w:space="0" w:color="auto"/>
            </w:tcBorders>
            <w:vAlign w:val="bottom"/>
          </w:tcPr>
          <w:p w:rsidR="007124F0" w:rsidRPr="00782D51" w:rsidRDefault="007124F0" w:rsidP="007124F0">
            <w:pPr>
              <w:jc w:val="center"/>
              <w:rPr>
                <w:rFonts w:cs="Arial"/>
                <w:sz w:val="22"/>
                <w:szCs w:val="22"/>
              </w:rPr>
            </w:pPr>
            <w:r w:rsidRPr="00782D51">
              <w:rPr>
                <w:rFonts w:cs="Arial"/>
                <w:sz w:val="22"/>
                <w:szCs w:val="22"/>
              </w:rPr>
              <w:t>Obs.</w:t>
            </w:r>
          </w:p>
        </w:tc>
        <w:tc>
          <w:tcPr>
            <w:tcW w:w="236" w:type="dxa"/>
            <w:tcBorders>
              <w:bottom w:val="single" w:sz="4" w:space="0" w:color="auto"/>
            </w:tcBorders>
            <w:noWrap/>
            <w:vAlign w:val="bottom"/>
          </w:tcPr>
          <w:p w:rsidR="007124F0" w:rsidRPr="00782D51" w:rsidRDefault="007124F0" w:rsidP="007124F0">
            <w:pPr>
              <w:jc w:val="center"/>
              <w:rPr>
                <w:rFonts w:cs="Arial"/>
                <w:sz w:val="22"/>
                <w:szCs w:val="22"/>
              </w:rPr>
            </w:pPr>
          </w:p>
        </w:tc>
        <w:tc>
          <w:tcPr>
            <w:tcW w:w="1204" w:type="dxa"/>
            <w:tcBorders>
              <w:top w:val="sing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Mean</w:t>
            </w:r>
          </w:p>
        </w:tc>
        <w:tc>
          <w:tcPr>
            <w:tcW w:w="1260" w:type="dxa"/>
            <w:tcBorders>
              <w:top w:val="sing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Median</w:t>
            </w:r>
          </w:p>
        </w:tc>
        <w:tc>
          <w:tcPr>
            <w:tcW w:w="900" w:type="dxa"/>
            <w:tcBorders>
              <w:top w:val="sing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Obs.</w:t>
            </w:r>
          </w:p>
        </w:tc>
      </w:tr>
      <w:tr w:rsidR="007124F0" w:rsidRPr="00782D51" w:rsidTr="007124F0">
        <w:trPr>
          <w:trHeight w:val="264"/>
        </w:trPr>
        <w:tc>
          <w:tcPr>
            <w:tcW w:w="2303" w:type="dxa"/>
            <w:tcBorders>
              <w:top w:val="single" w:sz="4" w:space="0" w:color="auto"/>
            </w:tcBorders>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SecuredMarketLeverage</w:t>
            </w:r>
          </w:p>
        </w:tc>
        <w:tc>
          <w:tcPr>
            <w:tcW w:w="1272"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0.337</w:t>
            </w:r>
          </w:p>
        </w:tc>
        <w:tc>
          <w:tcPr>
            <w:tcW w:w="1172"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0.322</w:t>
            </w:r>
          </w:p>
        </w:tc>
        <w:tc>
          <w:tcPr>
            <w:tcW w:w="1021" w:type="dxa"/>
            <w:tcBorders>
              <w:top w:val="single" w:sz="4" w:space="0" w:color="auto"/>
            </w:tcBorders>
            <w:vAlign w:val="bottom"/>
          </w:tcPr>
          <w:p w:rsidR="007124F0" w:rsidRPr="00782D51" w:rsidRDefault="007124F0" w:rsidP="007124F0">
            <w:pPr>
              <w:jc w:val="center"/>
              <w:rPr>
                <w:rFonts w:cs="Arial"/>
                <w:sz w:val="22"/>
                <w:szCs w:val="22"/>
              </w:rPr>
            </w:pPr>
            <w:r w:rsidRPr="00782D51">
              <w:rPr>
                <w:rFonts w:cs="Arial"/>
                <w:sz w:val="22"/>
                <w:szCs w:val="22"/>
              </w:rPr>
              <w:t>1,288</w:t>
            </w:r>
          </w:p>
        </w:tc>
        <w:tc>
          <w:tcPr>
            <w:tcW w:w="236" w:type="dxa"/>
            <w:tcBorders>
              <w:top w:val="single" w:sz="4" w:space="0" w:color="auto"/>
            </w:tcBorders>
            <w:noWrap/>
            <w:vAlign w:val="bottom"/>
          </w:tcPr>
          <w:p w:rsidR="007124F0" w:rsidRPr="00782D51" w:rsidRDefault="007124F0" w:rsidP="007124F0">
            <w:pPr>
              <w:jc w:val="center"/>
              <w:rPr>
                <w:rFonts w:cs="Arial"/>
                <w:sz w:val="22"/>
                <w:szCs w:val="22"/>
              </w:rPr>
            </w:pPr>
          </w:p>
        </w:tc>
        <w:tc>
          <w:tcPr>
            <w:tcW w:w="1204"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0.073</w:t>
            </w:r>
          </w:p>
        </w:tc>
        <w:tc>
          <w:tcPr>
            <w:tcW w:w="1260"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0.008</w:t>
            </w:r>
          </w:p>
        </w:tc>
        <w:tc>
          <w:tcPr>
            <w:tcW w:w="900"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72,060</w:t>
            </w:r>
          </w:p>
        </w:tc>
      </w:tr>
      <w:tr w:rsidR="007124F0" w:rsidRPr="00782D51" w:rsidTr="007124F0">
        <w:trPr>
          <w:trHeight w:val="264"/>
        </w:trPr>
        <w:tc>
          <w:tcPr>
            <w:tcW w:w="2303"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SecuredBookLeverage</w:t>
            </w:r>
          </w:p>
        </w:tc>
        <w:tc>
          <w:tcPr>
            <w:tcW w:w="1272" w:type="dxa"/>
            <w:noWrap/>
            <w:vAlign w:val="bottom"/>
          </w:tcPr>
          <w:p w:rsidR="007124F0" w:rsidRPr="00782D51" w:rsidRDefault="007124F0" w:rsidP="007124F0">
            <w:pPr>
              <w:jc w:val="center"/>
              <w:rPr>
                <w:rFonts w:cs="Arial"/>
                <w:sz w:val="22"/>
                <w:szCs w:val="22"/>
              </w:rPr>
            </w:pPr>
            <w:r w:rsidRPr="00782D51">
              <w:rPr>
                <w:rFonts w:cs="Arial"/>
                <w:sz w:val="22"/>
                <w:szCs w:val="22"/>
              </w:rPr>
              <w:t>0.407</w:t>
            </w:r>
          </w:p>
        </w:tc>
        <w:tc>
          <w:tcPr>
            <w:tcW w:w="1172" w:type="dxa"/>
            <w:noWrap/>
            <w:vAlign w:val="bottom"/>
          </w:tcPr>
          <w:p w:rsidR="007124F0" w:rsidRPr="00782D51" w:rsidRDefault="007124F0" w:rsidP="007124F0">
            <w:pPr>
              <w:jc w:val="center"/>
              <w:rPr>
                <w:rFonts w:cs="Arial"/>
                <w:sz w:val="22"/>
                <w:szCs w:val="22"/>
              </w:rPr>
            </w:pPr>
            <w:r w:rsidRPr="00782D51">
              <w:rPr>
                <w:rFonts w:cs="Arial"/>
                <w:sz w:val="22"/>
                <w:szCs w:val="22"/>
              </w:rPr>
              <w:t>0.393</w:t>
            </w:r>
          </w:p>
        </w:tc>
        <w:tc>
          <w:tcPr>
            <w:tcW w:w="1021" w:type="dxa"/>
            <w:vAlign w:val="bottom"/>
          </w:tcPr>
          <w:p w:rsidR="007124F0" w:rsidRPr="00782D51" w:rsidRDefault="007124F0" w:rsidP="007124F0">
            <w:pPr>
              <w:jc w:val="center"/>
              <w:rPr>
                <w:rFonts w:cs="Arial"/>
                <w:sz w:val="22"/>
                <w:szCs w:val="22"/>
              </w:rPr>
            </w:pPr>
            <w:r w:rsidRPr="00782D51">
              <w:rPr>
                <w:rFonts w:cs="Arial"/>
                <w:sz w:val="22"/>
                <w:szCs w:val="22"/>
              </w:rPr>
              <w:t>1,376</w:t>
            </w:r>
          </w:p>
        </w:tc>
        <w:tc>
          <w:tcPr>
            <w:tcW w:w="236" w:type="dxa"/>
            <w:noWrap/>
            <w:vAlign w:val="bottom"/>
          </w:tcPr>
          <w:p w:rsidR="007124F0" w:rsidRPr="00782D51" w:rsidRDefault="007124F0" w:rsidP="007124F0">
            <w:pPr>
              <w:jc w:val="center"/>
              <w:rPr>
                <w:rFonts w:cs="Arial"/>
                <w:sz w:val="22"/>
                <w:szCs w:val="22"/>
              </w:rPr>
            </w:pPr>
          </w:p>
        </w:tc>
        <w:tc>
          <w:tcPr>
            <w:tcW w:w="1204" w:type="dxa"/>
            <w:noWrap/>
            <w:vAlign w:val="bottom"/>
          </w:tcPr>
          <w:p w:rsidR="007124F0" w:rsidRPr="00782D51" w:rsidRDefault="007124F0" w:rsidP="007124F0">
            <w:pPr>
              <w:jc w:val="center"/>
              <w:rPr>
                <w:rFonts w:cs="Arial"/>
                <w:sz w:val="22"/>
                <w:szCs w:val="22"/>
              </w:rPr>
            </w:pPr>
            <w:r w:rsidRPr="00782D51">
              <w:rPr>
                <w:rFonts w:cs="Arial"/>
                <w:sz w:val="22"/>
                <w:szCs w:val="22"/>
              </w:rPr>
              <w:t>0.099</w:t>
            </w:r>
          </w:p>
        </w:tc>
        <w:tc>
          <w:tcPr>
            <w:tcW w:w="1260" w:type="dxa"/>
            <w:noWrap/>
            <w:vAlign w:val="bottom"/>
          </w:tcPr>
          <w:p w:rsidR="007124F0" w:rsidRPr="00782D51" w:rsidRDefault="007124F0" w:rsidP="007124F0">
            <w:pPr>
              <w:jc w:val="center"/>
              <w:rPr>
                <w:rFonts w:cs="Arial"/>
                <w:sz w:val="22"/>
                <w:szCs w:val="22"/>
              </w:rPr>
            </w:pPr>
            <w:r w:rsidRPr="00782D51">
              <w:rPr>
                <w:rFonts w:cs="Arial"/>
                <w:sz w:val="22"/>
                <w:szCs w:val="22"/>
              </w:rPr>
              <w:t>0.017</w:t>
            </w:r>
          </w:p>
        </w:tc>
        <w:tc>
          <w:tcPr>
            <w:tcW w:w="900" w:type="dxa"/>
            <w:noWrap/>
            <w:vAlign w:val="bottom"/>
          </w:tcPr>
          <w:p w:rsidR="007124F0" w:rsidRPr="00782D51" w:rsidRDefault="007124F0" w:rsidP="007124F0">
            <w:pPr>
              <w:jc w:val="center"/>
              <w:rPr>
                <w:rFonts w:cs="Arial"/>
                <w:sz w:val="22"/>
                <w:szCs w:val="22"/>
              </w:rPr>
            </w:pPr>
            <w:r w:rsidRPr="00782D51">
              <w:rPr>
                <w:rFonts w:cs="Arial"/>
                <w:sz w:val="22"/>
                <w:szCs w:val="22"/>
              </w:rPr>
              <w:t>84,542</w:t>
            </w:r>
          </w:p>
        </w:tc>
      </w:tr>
      <w:tr w:rsidR="007124F0" w:rsidRPr="00782D51" w:rsidTr="007124F0">
        <w:trPr>
          <w:trHeight w:val="264"/>
        </w:trPr>
        <w:tc>
          <w:tcPr>
            <w:tcW w:w="2303"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SecuredDebt</w:t>
            </w:r>
          </w:p>
        </w:tc>
        <w:tc>
          <w:tcPr>
            <w:tcW w:w="1272" w:type="dxa"/>
            <w:noWrap/>
            <w:vAlign w:val="bottom"/>
          </w:tcPr>
          <w:p w:rsidR="007124F0" w:rsidRPr="00782D51" w:rsidRDefault="007124F0" w:rsidP="007124F0">
            <w:pPr>
              <w:jc w:val="center"/>
              <w:rPr>
                <w:rFonts w:cs="Arial"/>
                <w:sz w:val="22"/>
                <w:szCs w:val="22"/>
              </w:rPr>
            </w:pPr>
            <w:r w:rsidRPr="00782D51">
              <w:rPr>
                <w:rFonts w:cs="Arial"/>
                <w:sz w:val="22"/>
                <w:szCs w:val="22"/>
              </w:rPr>
              <w:t>0.643</w:t>
            </w:r>
          </w:p>
        </w:tc>
        <w:tc>
          <w:tcPr>
            <w:tcW w:w="1172" w:type="dxa"/>
            <w:noWrap/>
            <w:vAlign w:val="bottom"/>
          </w:tcPr>
          <w:p w:rsidR="007124F0" w:rsidRPr="00782D51" w:rsidRDefault="007124F0" w:rsidP="007124F0">
            <w:pPr>
              <w:jc w:val="center"/>
              <w:rPr>
                <w:rFonts w:cs="Arial"/>
                <w:sz w:val="22"/>
                <w:szCs w:val="22"/>
              </w:rPr>
            </w:pPr>
            <w:r w:rsidRPr="00782D51">
              <w:rPr>
                <w:rFonts w:cs="Arial"/>
                <w:sz w:val="22"/>
                <w:szCs w:val="22"/>
              </w:rPr>
              <w:t>0.758</w:t>
            </w:r>
          </w:p>
        </w:tc>
        <w:tc>
          <w:tcPr>
            <w:tcW w:w="1021" w:type="dxa"/>
            <w:vAlign w:val="bottom"/>
          </w:tcPr>
          <w:p w:rsidR="007124F0" w:rsidRPr="00782D51" w:rsidRDefault="007124F0" w:rsidP="007124F0">
            <w:pPr>
              <w:jc w:val="center"/>
              <w:rPr>
                <w:rFonts w:cs="Arial"/>
                <w:sz w:val="22"/>
                <w:szCs w:val="22"/>
              </w:rPr>
            </w:pPr>
            <w:r w:rsidRPr="00782D51">
              <w:rPr>
                <w:rFonts w:cs="Arial"/>
                <w:sz w:val="22"/>
                <w:szCs w:val="22"/>
              </w:rPr>
              <w:t>1,376</w:t>
            </w:r>
          </w:p>
        </w:tc>
        <w:tc>
          <w:tcPr>
            <w:tcW w:w="236" w:type="dxa"/>
            <w:noWrap/>
            <w:vAlign w:val="bottom"/>
          </w:tcPr>
          <w:p w:rsidR="007124F0" w:rsidRPr="00782D51" w:rsidRDefault="007124F0" w:rsidP="007124F0">
            <w:pPr>
              <w:jc w:val="center"/>
              <w:rPr>
                <w:rFonts w:cs="Arial"/>
                <w:sz w:val="22"/>
                <w:szCs w:val="22"/>
              </w:rPr>
            </w:pPr>
          </w:p>
        </w:tc>
        <w:tc>
          <w:tcPr>
            <w:tcW w:w="1204" w:type="dxa"/>
            <w:noWrap/>
            <w:vAlign w:val="bottom"/>
          </w:tcPr>
          <w:p w:rsidR="007124F0" w:rsidRPr="00782D51" w:rsidRDefault="007124F0" w:rsidP="007124F0">
            <w:pPr>
              <w:jc w:val="center"/>
              <w:rPr>
                <w:rFonts w:cs="Arial"/>
                <w:sz w:val="22"/>
                <w:szCs w:val="22"/>
              </w:rPr>
            </w:pPr>
            <w:r w:rsidRPr="00782D51">
              <w:rPr>
                <w:rFonts w:cs="Arial"/>
                <w:sz w:val="22"/>
                <w:szCs w:val="22"/>
              </w:rPr>
              <w:t>0.338</w:t>
            </w:r>
          </w:p>
        </w:tc>
        <w:tc>
          <w:tcPr>
            <w:tcW w:w="1260" w:type="dxa"/>
            <w:noWrap/>
            <w:vAlign w:val="bottom"/>
          </w:tcPr>
          <w:p w:rsidR="007124F0" w:rsidRPr="00782D51" w:rsidRDefault="007124F0" w:rsidP="007124F0">
            <w:pPr>
              <w:jc w:val="center"/>
              <w:rPr>
                <w:rFonts w:cs="Arial"/>
                <w:sz w:val="22"/>
                <w:szCs w:val="22"/>
              </w:rPr>
            </w:pPr>
            <w:r w:rsidRPr="00782D51">
              <w:rPr>
                <w:rFonts w:cs="Arial"/>
                <w:sz w:val="22"/>
                <w:szCs w:val="22"/>
              </w:rPr>
              <w:t>0.170</w:t>
            </w:r>
          </w:p>
        </w:tc>
        <w:tc>
          <w:tcPr>
            <w:tcW w:w="900" w:type="dxa"/>
            <w:noWrap/>
            <w:vAlign w:val="bottom"/>
          </w:tcPr>
          <w:p w:rsidR="007124F0" w:rsidRPr="00782D51" w:rsidRDefault="007124F0" w:rsidP="007124F0">
            <w:pPr>
              <w:jc w:val="center"/>
              <w:rPr>
                <w:rFonts w:cs="Arial"/>
                <w:sz w:val="22"/>
                <w:szCs w:val="22"/>
              </w:rPr>
            </w:pPr>
            <w:r w:rsidRPr="00782D51">
              <w:rPr>
                <w:rFonts w:cs="Arial"/>
                <w:sz w:val="22"/>
                <w:szCs w:val="22"/>
              </w:rPr>
              <w:t>84,542</w:t>
            </w:r>
          </w:p>
        </w:tc>
      </w:tr>
      <w:tr w:rsidR="007124F0" w:rsidRPr="00782D51" w:rsidTr="007124F0">
        <w:trPr>
          <w:trHeight w:val="264"/>
        </w:trPr>
        <w:tc>
          <w:tcPr>
            <w:tcW w:w="2303"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MarketLeverage</w:t>
            </w:r>
          </w:p>
        </w:tc>
        <w:tc>
          <w:tcPr>
            <w:tcW w:w="1272" w:type="dxa"/>
            <w:noWrap/>
            <w:vAlign w:val="bottom"/>
          </w:tcPr>
          <w:p w:rsidR="007124F0" w:rsidRPr="00782D51" w:rsidRDefault="007124F0" w:rsidP="007124F0">
            <w:pPr>
              <w:jc w:val="center"/>
              <w:rPr>
                <w:rFonts w:cs="Arial"/>
                <w:sz w:val="22"/>
                <w:szCs w:val="22"/>
              </w:rPr>
            </w:pPr>
            <w:r w:rsidRPr="00782D51">
              <w:rPr>
                <w:rFonts w:cs="Arial"/>
                <w:sz w:val="22"/>
                <w:szCs w:val="22"/>
              </w:rPr>
              <w:t>0.493</w:t>
            </w:r>
          </w:p>
        </w:tc>
        <w:tc>
          <w:tcPr>
            <w:tcW w:w="1172" w:type="dxa"/>
            <w:noWrap/>
            <w:vAlign w:val="bottom"/>
          </w:tcPr>
          <w:p w:rsidR="007124F0" w:rsidRPr="00782D51" w:rsidRDefault="007124F0" w:rsidP="007124F0">
            <w:pPr>
              <w:jc w:val="center"/>
              <w:rPr>
                <w:rFonts w:cs="Arial"/>
                <w:sz w:val="22"/>
                <w:szCs w:val="22"/>
              </w:rPr>
            </w:pPr>
            <w:r w:rsidRPr="00782D51">
              <w:rPr>
                <w:rFonts w:cs="Arial"/>
                <w:sz w:val="22"/>
                <w:szCs w:val="22"/>
              </w:rPr>
              <w:t>0.498</w:t>
            </w:r>
          </w:p>
        </w:tc>
        <w:tc>
          <w:tcPr>
            <w:tcW w:w="1021" w:type="dxa"/>
            <w:vAlign w:val="bottom"/>
          </w:tcPr>
          <w:p w:rsidR="007124F0" w:rsidRPr="00782D51" w:rsidRDefault="007124F0" w:rsidP="007124F0">
            <w:pPr>
              <w:jc w:val="center"/>
              <w:rPr>
                <w:rFonts w:cs="Arial"/>
                <w:sz w:val="22"/>
                <w:szCs w:val="22"/>
              </w:rPr>
            </w:pPr>
            <w:r w:rsidRPr="00782D51">
              <w:rPr>
                <w:rFonts w:cs="Arial"/>
                <w:sz w:val="22"/>
                <w:szCs w:val="22"/>
              </w:rPr>
              <w:t>1,298</w:t>
            </w:r>
          </w:p>
        </w:tc>
        <w:tc>
          <w:tcPr>
            <w:tcW w:w="236" w:type="dxa"/>
            <w:noWrap/>
            <w:vAlign w:val="bottom"/>
          </w:tcPr>
          <w:p w:rsidR="007124F0" w:rsidRPr="00782D51" w:rsidRDefault="007124F0" w:rsidP="007124F0">
            <w:pPr>
              <w:jc w:val="center"/>
              <w:rPr>
                <w:rFonts w:cs="Arial"/>
                <w:sz w:val="22"/>
                <w:szCs w:val="22"/>
              </w:rPr>
            </w:pPr>
          </w:p>
        </w:tc>
        <w:tc>
          <w:tcPr>
            <w:tcW w:w="1204" w:type="dxa"/>
            <w:noWrap/>
            <w:vAlign w:val="bottom"/>
          </w:tcPr>
          <w:p w:rsidR="007124F0" w:rsidRPr="00782D51" w:rsidRDefault="007124F0" w:rsidP="007124F0">
            <w:pPr>
              <w:jc w:val="center"/>
              <w:rPr>
                <w:rFonts w:cs="Arial"/>
                <w:sz w:val="22"/>
                <w:szCs w:val="22"/>
              </w:rPr>
            </w:pPr>
            <w:r w:rsidRPr="00782D51">
              <w:rPr>
                <w:rFonts w:cs="Arial"/>
                <w:sz w:val="22"/>
                <w:szCs w:val="22"/>
              </w:rPr>
              <w:t>0.190</w:t>
            </w:r>
          </w:p>
        </w:tc>
        <w:tc>
          <w:tcPr>
            <w:tcW w:w="1260" w:type="dxa"/>
            <w:noWrap/>
            <w:vAlign w:val="bottom"/>
          </w:tcPr>
          <w:p w:rsidR="007124F0" w:rsidRPr="00782D51" w:rsidRDefault="007124F0" w:rsidP="007124F0">
            <w:pPr>
              <w:jc w:val="center"/>
              <w:rPr>
                <w:rFonts w:cs="Arial"/>
                <w:sz w:val="22"/>
                <w:szCs w:val="22"/>
              </w:rPr>
            </w:pPr>
            <w:r w:rsidRPr="00782D51">
              <w:rPr>
                <w:rFonts w:cs="Arial"/>
                <w:sz w:val="22"/>
                <w:szCs w:val="22"/>
              </w:rPr>
              <w:t>0.141</w:t>
            </w:r>
          </w:p>
        </w:tc>
        <w:tc>
          <w:tcPr>
            <w:tcW w:w="900" w:type="dxa"/>
            <w:noWrap/>
            <w:vAlign w:val="bottom"/>
          </w:tcPr>
          <w:p w:rsidR="007124F0" w:rsidRPr="00782D51" w:rsidRDefault="007124F0" w:rsidP="007124F0">
            <w:pPr>
              <w:jc w:val="center"/>
              <w:rPr>
                <w:rFonts w:cs="Arial"/>
                <w:sz w:val="22"/>
                <w:szCs w:val="22"/>
              </w:rPr>
            </w:pPr>
            <w:r w:rsidRPr="00782D51">
              <w:rPr>
                <w:rFonts w:cs="Arial"/>
                <w:sz w:val="22"/>
                <w:szCs w:val="22"/>
              </w:rPr>
              <w:t>72,060</w:t>
            </w:r>
          </w:p>
        </w:tc>
      </w:tr>
      <w:tr w:rsidR="007124F0" w:rsidRPr="00782D51" w:rsidTr="007124F0">
        <w:trPr>
          <w:trHeight w:val="264"/>
        </w:trPr>
        <w:tc>
          <w:tcPr>
            <w:tcW w:w="2303" w:type="dxa"/>
            <w:tcBorders>
              <w:bottom w:val="double" w:sz="4" w:space="0" w:color="auto"/>
            </w:tcBorders>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BookLeverage</w:t>
            </w:r>
          </w:p>
        </w:tc>
        <w:tc>
          <w:tcPr>
            <w:tcW w:w="1272"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0.595</w:t>
            </w:r>
          </w:p>
        </w:tc>
        <w:tc>
          <w:tcPr>
            <w:tcW w:w="1172"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0.598</w:t>
            </w:r>
          </w:p>
        </w:tc>
        <w:tc>
          <w:tcPr>
            <w:tcW w:w="1021" w:type="dxa"/>
            <w:tcBorders>
              <w:bottom w:val="double" w:sz="4" w:space="0" w:color="auto"/>
            </w:tcBorders>
            <w:vAlign w:val="bottom"/>
          </w:tcPr>
          <w:p w:rsidR="007124F0" w:rsidRPr="00782D51" w:rsidRDefault="007124F0" w:rsidP="007124F0">
            <w:pPr>
              <w:jc w:val="center"/>
              <w:rPr>
                <w:rFonts w:cs="Arial"/>
                <w:sz w:val="22"/>
                <w:szCs w:val="22"/>
              </w:rPr>
            </w:pPr>
            <w:r w:rsidRPr="00782D51">
              <w:rPr>
                <w:rFonts w:cs="Arial"/>
                <w:sz w:val="22"/>
                <w:szCs w:val="22"/>
              </w:rPr>
              <w:t>1,388</w:t>
            </w:r>
          </w:p>
        </w:tc>
        <w:tc>
          <w:tcPr>
            <w:tcW w:w="236" w:type="dxa"/>
            <w:tcBorders>
              <w:bottom w:val="double" w:sz="4" w:space="0" w:color="auto"/>
            </w:tcBorders>
            <w:noWrap/>
            <w:vAlign w:val="bottom"/>
          </w:tcPr>
          <w:p w:rsidR="007124F0" w:rsidRPr="00782D51" w:rsidRDefault="007124F0" w:rsidP="007124F0">
            <w:pPr>
              <w:jc w:val="center"/>
              <w:rPr>
                <w:rFonts w:cs="Arial"/>
                <w:sz w:val="22"/>
                <w:szCs w:val="22"/>
              </w:rPr>
            </w:pPr>
          </w:p>
        </w:tc>
        <w:tc>
          <w:tcPr>
            <w:tcW w:w="1204"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0.278</w:t>
            </w:r>
          </w:p>
        </w:tc>
        <w:tc>
          <w:tcPr>
            <w:tcW w:w="1260"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0.241</w:t>
            </w:r>
          </w:p>
        </w:tc>
        <w:tc>
          <w:tcPr>
            <w:tcW w:w="900"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84,542</w:t>
            </w:r>
          </w:p>
        </w:tc>
      </w:tr>
    </w:tbl>
    <w:p w:rsidR="007124F0" w:rsidRPr="00F02477" w:rsidRDefault="007124F0" w:rsidP="007124F0">
      <w:pPr>
        <w:jc w:val="both"/>
      </w:pPr>
    </w:p>
    <w:p w:rsidR="007124F0" w:rsidRPr="00F02477" w:rsidRDefault="007124F0" w:rsidP="007124F0">
      <w:pPr>
        <w:jc w:val="both"/>
      </w:pPr>
    </w:p>
    <w:p w:rsidR="007124F0" w:rsidRPr="00F02477" w:rsidRDefault="007124F0" w:rsidP="007124F0">
      <w:r>
        <w:br w:type="page"/>
      </w:r>
      <w:r w:rsidRPr="00F02477">
        <w:lastRenderedPageBreak/>
        <w:t xml:space="preserve">Table 2 – </w:t>
      </w:r>
      <w:r>
        <w:rPr>
          <w:i/>
        </w:rPr>
        <w:t>q</w:t>
      </w:r>
      <w:r w:rsidRPr="00F02477">
        <w:t xml:space="preserve"> by Debt Groups</w:t>
      </w:r>
    </w:p>
    <w:p w:rsidR="007124F0" w:rsidRPr="00F02477" w:rsidRDefault="007124F0" w:rsidP="007124F0"/>
    <w:p w:rsidR="007124F0" w:rsidRPr="00F02477" w:rsidRDefault="007124F0" w:rsidP="007124F0">
      <w:pPr>
        <w:jc w:val="both"/>
        <w:rPr>
          <w:sz w:val="22"/>
          <w:szCs w:val="22"/>
        </w:rPr>
      </w:pPr>
      <w:r w:rsidRPr="00F02477">
        <w:rPr>
          <w:sz w:val="22"/>
          <w:szCs w:val="22"/>
        </w:rPr>
        <w:t xml:space="preserve">This table reports mean comparison of </w:t>
      </w:r>
      <w:r>
        <w:rPr>
          <w:i/>
          <w:sz w:val="22"/>
          <w:szCs w:val="22"/>
        </w:rPr>
        <w:t>q</w:t>
      </w:r>
      <w:r w:rsidRPr="00F02477">
        <w:rPr>
          <w:sz w:val="22"/>
          <w:szCs w:val="22"/>
        </w:rPr>
        <w:t xml:space="preserve"> by leverage groups.</w:t>
      </w:r>
      <w:r>
        <w:rPr>
          <w:sz w:val="22"/>
          <w:szCs w:val="22"/>
        </w:rPr>
        <w:t xml:space="preserve"> </w:t>
      </w:r>
      <w:r>
        <w:rPr>
          <w:rFonts w:cs="dcr10"/>
          <w:i/>
          <w:sz w:val="22"/>
          <w:szCs w:val="22"/>
        </w:rPr>
        <w:t>q</w:t>
      </w:r>
      <w:r w:rsidRPr="00782D51">
        <w:rPr>
          <w:rFonts w:cs="dcr10"/>
          <w:sz w:val="22"/>
          <w:szCs w:val="22"/>
        </w:rPr>
        <w:t xml:space="preserve"> is the ratio of market value of total assets (or SNL item #220 – item #3799 + item#6111</w:t>
      </w:r>
      <w:r w:rsidRPr="00782D51">
        <w:rPr>
          <w:rFonts w:cs="Arial"/>
          <w:sz w:val="22"/>
          <w:szCs w:val="22"/>
        </w:rPr>
        <w:sym w:font="Symbol" w:char="F0B4"/>
      </w:r>
      <w:r w:rsidRPr="00782D51">
        <w:rPr>
          <w:rFonts w:cs="dcr10"/>
          <w:sz w:val="22"/>
          <w:szCs w:val="22"/>
        </w:rPr>
        <w:t xml:space="preserve">1000) to book value of total assets (or SNL item #220). </w:t>
      </w:r>
      <w:r w:rsidRPr="00F02477">
        <w:rPr>
          <w:sz w:val="22"/>
          <w:szCs w:val="22"/>
        </w:rPr>
        <w:t xml:space="preserve"> “Above Median Group” includes firms with </w:t>
      </w:r>
      <w:r w:rsidRPr="00F02477">
        <w:rPr>
          <w:i/>
          <w:sz w:val="22"/>
          <w:szCs w:val="22"/>
        </w:rPr>
        <w:t>SecuredMarketLeverage, SecuredBookLeverage, SecuredDebt, MarketLeverage</w:t>
      </w:r>
      <w:r w:rsidRPr="00F02477">
        <w:rPr>
          <w:sz w:val="22"/>
          <w:szCs w:val="22"/>
        </w:rPr>
        <w:t xml:space="preserve">, and </w:t>
      </w:r>
      <w:r w:rsidRPr="00F02477">
        <w:rPr>
          <w:i/>
          <w:sz w:val="22"/>
          <w:szCs w:val="22"/>
        </w:rPr>
        <w:t>BookLeverage</w:t>
      </w:r>
      <w:r w:rsidRPr="00F02477">
        <w:rPr>
          <w:sz w:val="22"/>
          <w:szCs w:val="22"/>
        </w:rPr>
        <w:t xml:space="preserve"> above their respective sample medians. “Below Median Group” includes firms with </w:t>
      </w:r>
      <w:r w:rsidRPr="00F02477">
        <w:rPr>
          <w:i/>
          <w:sz w:val="22"/>
          <w:szCs w:val="22"/>
        </w:rPr>
        <w:t>SecuredMarketLeverage, SecuredBookLeverage, SecuredDebt, MarketLeverage</w:t>
      </w:r>
      <w:r w:rsidRPr="00F02477">
        <w:rPr>
          <w:sz w:val="22"/>
          <w:szCs w:val="22"/>
        </w:rPr>
        <w:t xml:space="preserve">, and </w:t>
      </w:r>
      <w:r w:rsidRPr="00F02477">
        <w:rPr>
          <w:i/>
          <w:sz w:val="22"/>
          <w:szCs w:val="22"/>
        </w:rPr>
        <w:t>BookLeverage</w:t>
      </w:r>
      <w:r w:rsidRPr="00F02477">
        <w:rPr>
          <w:sz w:val="22"/>
          <w:szCs w:val="22"/>
        </w:rPr>
        <w:t xml:space="preserve"> below their respective sample medians. All firm level data are from SNL Datasource over the sample period 1991-2007. Refer to Table 1 for detailed variable definitions. The sample includes residential, retail, office, and industrial REITs. </w:t>
      </w:r>
    </w:p>
    <w:p w:rsidR="007124F0" w:rsidRPr="00F02477" w:rsidRDefault="007124F0" w:rsidP="007124F0">
      <w:pPr>
        <w:jc w:val="both"/>
      </w:pPr>
    </w:p>
    <w:tbl>
      <w:tblPr>
        <w:tblW w:w="9368" w:type="dxa"/>
        <w:tblLook w:val="0000"/>
      </w:tblPr>
      <w:tblGrid>
        <w:gridCol w:w="2708"/>
        <w:gridCol w:w="2160"/>
        <w:gridCol w:w="2160"/>
        <w:gridCol w:w="2340"/>
      </w:tblGrid>
      <w:tr w:rsidR="007124F0" w:rsidRPr="00782D51" w:rsidTr="007124F0">
        <w:trPr>
          <w:trHeight w:val="264"/>
        </w:trPr>
        <w:tc>
          <w:tcPr>
            <w:tcW w:w="2708" w:type="dxa"/>
            <w:tcBorders>
              <w:top w:val="double" w:sz="4" w:space="0" w:color="auto"/>
              <w:bottom w:val="single" w:sz="4" w:space="0" w:color="auto"/>
            </w:tcBorders>
            <w:noWrap/>
            <w:vAlign w:val="bottom"/>
          </w:tcPr>
          <w:p w:rsidR="007124F0" w:rsidRPr="00782D51" w:rsidRDefault="007124F0" w:rsidP="007124F0">
            <w:pPr>
              <w:jc w:val="center"/>
              <w:rPr>
                <w:rFonts w:cs="Arial"/>
                <w:sz w:val="22"/>
                <w:szCs w:val="22"/>
              </w:rPr>
            </w:pPr>
          </w:p>
        </w:tc>
        <w:tc>
          <w:tcPr>
            <w:tcW w:w="2160" w:type="dxa"/>
            <w:tcBorders>
              <w:top w:val="doub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Above Median Group</w:t>
            </w:r>
          </w:p>
          <w:p w:rsidR="007124F0" w:rsidRPr="00782D51" w:rsidRDefault="007124F0" w:rsidP="007124F0">
            <w:pPr>
              <w:jc w:val="center"/>
              <w:rPr>
                <w:rFonts w:cs="Arial"/>
                <w:sz w:val="22"/>
                <w:szCs w:val="22"/>
              </w:rPr>
            </w:pPr>
          </w:p>
        </w:tc>
        <w:tc>
          <w:tcPr>
            <w:tcW w:w="2160" w:type="dxa"/>
            <w:tcBorders>
              <w:top w:val="doub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Below Median Group</w:t>
            </w:r>
          </w:p>
          <w:p w:rsidR="007124F0" w:rsidRPr="00782D51" w:rsidRDefault="007124F0" w:rsidP="007124F0">
            <w:pPr>
              <w:jc w:val="center"/>
              <w:rPr>
                <w:rFonts w:cs="Arial"/>
                <w:sz w:val="22"/>
                <w:szCs w:val="22"/>
              </w:rPr>
            </w:pPr>
          </w:p>
        </w:tc>
        <w:tc>
          <w:tcPr>
            <w:tcW w:w="2340" w:type="dxa"/>
            <w:tcBorders>
              <w:top w:val="double" w:sz="4" w:space="0" w:color="auto"/>
              <w:bottom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Difference</w:t>
            </w:r>
          </w:p>
          <w:p w:rsidR="007124F0" w:rsidRPr="00782D51" w:rsidRDefault="007124F0" w:rsidP="007124F0">
            <w:pPr>
              <w:jc w:val="center"/>
              <w:rPr>
                <w:rFonts w:cs="Arial"/>
                <w:sz w:val="22"/>
                <w:szCs w:val="22"/>
              </w:rPr>
            </w:pPr>
            <w:r w:rsidRPr="00782D51">
              <w:rPr>
                <w:rFonts w:cs="Arial"/>
                <w:sz w:val="22"/>
                <w:szCs w:val="22"/>
              </w:rPr>
              <w:t>Above – Below Median</w:t>
            </w:r>
          </w:p>
          <w:p w:rsidR="007124F0" w:rsidRPr="00782D51" w:rsidRDefault="007124F0" w:rsidP="007124F0">
            <w:pPr>
              <w:jc w:val="center"/>
              <w:rPr>
                <w:rFonts w:cs="Arial"/>
                <w:sz w:val="22"/>
                <w:szCs w:val="22"/>
              </w:rPr>
            </w:pPr>
          </w:p>
        </w:tc>
      </w:tr>
      <w:tr w:rsidR="007124F0" w:rsidRPr="00782D51" w:rsidTr="007124F0">
        <w:trPr>
          <w:trHeight w:val="264"/>
        </w:trPr>
        <w:tc>
          <w:tcPr>
            <w:tcW w:w="2708" w:type="dxa"/>
            <w:tcBorders>
              <w:top w:val="single" w:sz="4" w:space="0" w:color="auto"/>
            </w:tcBorders>
            <w:noWrap/>
            <w:vAlign w:val="bottom"/>
          </w:tcPr>
          <w:p w:rsidR="007124F0" w:rsidRPr="00782D51" w:rsidRDefault="007124F0" w:rsidP="007124F0">
            <w:pPr>
              <w:rPr>
                <w:rFonts w:cs="Arial"/>
                <w:i/>
                <w:sz w:val="22"/>
                <w:szCs w:val="22"/>
              </w:rPr>
            </w:pPr>
            <w:r w:rsidRPr="00782D51">
              <w:rPr>
                <w:rFonts w:cs="Arial"/>
                <w:sz w:val="22"/>
                <w:szCs w:val="22"/>
              </w:rPr>
              <w:t xml:space="preserve">By </w:t>
            </w:r>
            <w:r w:rsidRPr="00782D51">
              <w:rPr>
                <w:rFonts w:cs="Arial"/>
                <w:i/>
                <w:sz w:val="22"/>
                <w:szCs w:val="22"/>
              </w:rPr>
              <w:t>SecuredMarketLeverage</w:t>
            </w:r>
          </w:p>
        </w:tc>
        <w:tc>
          <w:tcPr>
            <w:tcW w:w="2160"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1.172</w:t>
            </w:r>
          </w:p>
        </w:tc>
        <w:tc>
          <w:tcPr>
            <w:tcW w:w="2160"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1.303</w:t>
            </w:r>
          </w:p>
        </w:tc>
        <w:tc>
          <w:tcPr>
            <w:tcW w:w="2340"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-0.132***</w:t>
            </w:r>
          </w:p>
        </w:tc>
      </w:tr>
      <w:tr w:rsidR="007124F0" w:rsidRPr="00782D51" w:rsidTr="007124F0">
        <w:trPr>
          <w:trHeight w:val="264"/>
        </w:trPr>
        <w:tc>
          <w:tcPr>
            <w:tcW w:w="2708"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sz w:val="22"/>
                <w:szCs w:val="22"/>
              </w:rPr>
              <w:t xml:space="preserve">By </w:t>
            </w:r>
            <w:r w:rsidRPr="00782D51">
              <w:rPr>
                <w:rFonts w:cs="Arial"/>
                <w:i/>
                <w:sz w:val="22"/>
                <w:szCs w:val="22"/>
              </w:rPr>
              <w:t>SecuredBookLeverage</w:t>
            </w:r>
          </w:p>
        </w:tc>
        <w:tc>
          <w:tcPr>
            <w:tcW w:w="2160" w:type="dxa"/>
            <w:noWrap/>
            <w:vAlign w:val="bottom"/>
          </w:tcPr>
          <w:p w:rsidR="007124F0" w:rsidRPr="00782D51" w:rsidRDefault="007124F0" w:rsidP="007124F0">
            <w:pPr>
              <w:jc w:val="center"/>
              <w:rPr>
                <w:rFonts w:cs="Arial"/>
                <w:sz w:val="22"/>
                <w:szCs w:val="22"/>
              </w:rPr>
            </w:pPr>
            <w:r w:rsidRPr="00782D51">
              <w:rPr>
                <w:rFonts w:cs="Arial"/>
                <w:sz w:val="22"/>
                <w:szCs w:val="22"/>
              </w:rPr>
              <w:t>1.210</w:t>
            </w:r>
          </w:p>
        </w:tc>
        <w:tc>
          <w:tcPr>
            <w:tcW w:w="2160" w:type="dxa"/>
            <w:noWrap/>
            <w:vAlign w:val="bottom"/>
          </w:tcPr>
          <w:p w:rsidR="007124F0" w:rsidRPr="00782D51" w:rsidRDefault="007124F0" w:rsidP="007124F0">
            <w:pPr>
              <w:jc w:val="center"/>
              <w:rPr>
                <w:rFonts w:cs="Arial"/>
                <w:sz w:val="22"/>
                <w:szCs w:val="22"/>
              </w:rPr>
            </w:pPr>
            <w:r w:rsidRPr="00782D51">
              <w:rPr>
                <w:rFonts w:cs="Arial"/>
                <w:sz w:val="22"/>
                <w:szCs w:val="22"/>
              </w:rPr>
              <w:t>1.262</w:t>
            </w:r>
          </w:p>
        </w:tc>
        <w:tc>
          <w:tcPr>
            <w:tcW w:w="2340" w:type="dxa"/>
            <w:noWrap/>
            <w:vAlign w:val="bottom"/>
          </w:tcPr>
          <w:p w:rsidR="007124F0" w:rsidRPr="00782D51" w:rsidRDefault="007124F0" w:rsidP="007124F0">
            <w:pPr>
              <w:jc w:val="center"/>
              <w:rPr>
                <w:rFonts w:cs="Arial"/>
                <w:sz w:val="22"/>
                <w:szCs w:val="22"/>
              </w:rPr>
            </w:pPr>
            <w:r w:rsidRPr="00782D51">
              <w:rPr>
                <w:rFonts w:cs="Arial"/>
                <w:sz w:val="22"/>
                <w:szCs w:val="22"/>
              </w:rPr>
              <w:t>-0.052***</w:t>
            </w:r>
          </w:p>
        </w:tc>
      </w:tr>
      <w:tr w:rsidR="007124F0" w:rsidRPr="00782D51" w:rsidTr="007124F0">
        <w:trPr>
          <w:trHeight w:val="264"/>
        </w:trPr>
        <w:tc>
          <w:tcPr>
            <w:tcW w:w="2708"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sz w:val="22"/>
                <w:szCs w:val="22"/>
              </w:rPr>
              <w:t xml:space="preserve">By </w:t>
            </w:r>
            <w:r w:rsidRPr="00782D51">
              <w:rPr>
                <w:rFonts w:cs="Arial"/>
                <w:i/>
                <w:sz w:val="22"/>
                <w:szCs w:val="22"/>
              </w:rPr>
              <w:t>SecuredDebt</w:t>
            </w:r>
          </w:p>
        </w:tc>
        <w:tc>
          <w:tcPr>
            <w:tcW w:w="2160" w:type="dxa"/>
            <w:noWrap/>
            <w:vAlign w:val="bottom"/>
          </w:tcPr>
          <w:p w:rsidR="007124F0" w:rsidRPr="00782D51" w:rsidRDefault="007124F0" w:rsidP="007124F0">
            <w:pPr>
              <w:jc w:val="center"/>
              <w:rPr>
                <w:rFonts w:cs="Arial"/>
                <w:sz w:val="22"/>
                <w:szCs w:val="22"/>
              </w:rPr>
            </w:pPr>
            <w:r w:rsidRPr="00782D51">
              <w:rPr>
                <w:rFonts w:cs="Arial"/>
                <w:sz w:val="22"/>
                <w:szCs w:val="22"/>
              </w:rPr>
              <w:t>1.191</w:t>
            </w:r>
          </w:p>
        </w:tc>
        <w:tc>
          <w:tcPr>
            <w:tcW w:w="2160" w:type="dxa"/>
            <w:noWrap/>
            <w:vAlign w:val="bottom"/>
          </w:tcPr>
          <w:p w:rsidR="007124F0" w:rsidRPr="00782D51" w:rsidRDefault="007124F0" w:rsidP="007124F0">
            <w:pPr>
              <w:jc w:val="center"/>
              <w:rPr>
                <w:rFonts w:cs="Arial"/>
                <w:sz w:val="22"/>
                <w:szCs w:val="22"/>
              </w:rPr>
            </w:pPr>
            <w:r w:rsidRPr="00782D51">
              <w:rPr>
                <w:rFonts w:cs="Arial"/>
                <w:sz w:val="22"/>
                <w:szCs w:val="22"/>
              </w:rPr>
              <w:t>1.282</w:t>
            </w:r>
          </w:p>
        </w:tc>
        <w:tc>
          <w:tcPr>
            <w:tcW w:w="2340" w:type="dxa"/>
            <w:noWrap/>
            <w:vAlign w:val="bottom"/>
          </w:tcPr>
          <w:p w:rsidR="007124F0" w:rsidRPr="00782D51" w:rsidRDefault="007124F0" w:rsidP="007124F0">
            <w:pPr>
              <w:jc w:val="center"/>
              <w:rPr>
                <w:rFonts w:cs="Arial"/>
                <w:sz w:val="22"/>
                <w:szCs w:val="22"/>
              </w:rPr>
            </w:pPr>
            <w:r w:rsidRPr="00782D51">
              <w:rPr>
                <w:rFonts w:cs="Arial"/>
                <w:sz w:val="22"/>
                <w:szCs w:val="22"/>
              </w:rPr>
              <w:t>-0.090***</w:t>
            </w:r>
          </w:p>
        </w:tc>
      </w:tr>
      <w:tr w:rsidR="007124F0" w:rsidRPr="00782D51" w:rsidTr="007124F0">
        <w:trPr>
          <w:trHeight w:val="264"/>
        </w:trPr>
        <w:tc>
          <w:tcPr>
            <w:tcW w:w="2708"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sz w:val="22"/>
                <w:szCs w:val="22"/>
              </w:rPr>
              <w:t xml:space="preserve">By </w:t>
            </w:r>
            <w:r w:rsidRPr="00782D51">
              <w:rPr>
                <w:rFonts w:cs="Arial"/>
                <w:i/>
                <w:sz w:val="22"/>
                <w:szCs w:val="22"/>
              </w:rPr>
              <w:t>MarketLeverage</w:t>
            </w:r>
          </w:p>
        </w:tc>
        <w:tc>
          <w:tcPr>
            <w:tcW w:w="2160" w:type="dxa"/>
            <w:noWrap/>
            <w:vAlign w:val="bottom"/>
          </w:tcPr>
          <w:p w:rsidR="007124F0" w:rsidRPr="00782D51" w:rsidRDefault="007124F0" w:rsidP="007124F0">
            <w:pPr>
              <w:jc w:val="center"/>
              <w:rPr>
                <w:rFonts w:cs="Arial"/>
                <w:sz w:val="22"/>
                <w:szCs w:val="22"/>
              </w:rPr>
            </w:pPr>
            <w:r w:rsidRPr="00782D51">
              <w:rPr>
                <w:rFonts w:cs="Arial"/>
                <w:sz w:val="22"/>
                <w:szCs w:val="22"/>
              </w:rPr>
              <w:t>1.143</w:t>
            </w:r>
          </w:p>
        </w:tc>
        <w:tc>
          <w:tcPr>
            <w:tcW w:w="2160" w:type="dxa"/>
            <w:noWrap/>
            <w:vAlign w:val="bottom"/>
          </w:tcPr>
          <w:p w:rsidR="007124F0" w:rsidRPr="00782D51" w:rsidRDefault="007124F0" w:rsidP="007124F0">
            <w:pPr>
              <w:jc w:val="center"/>
              <w:rPr>
                <w:rFonts w:cs="Arial"/>
                <w:sz w:val="22"/>
                <w:szCs w:val="22"/>
              </w:rPr>
            </w:pPr>
            <w:r w:rsidRPr="00782D51">
              <w:rPr>
                <w:rFonts w:cs="Arial"/>
                <w:sz w:val="22"/>
                <w:szCs w:val="22"/>
              </w:rPr>
              <w:t>1.327</w:t>
            </w:r>
          </w:p>
        </w:tc>
        <w:tc>
          <w:tcPr>
            <w:tcW w:w="2340" w:type="dxa"/>
            <w:noWrap/>
            <w:vAlign w:val="bottom"/>
          </w:tcPr>
          <w:p w:rsidR="007124F0" w:rsidRPr="00782D51" w:rsidRDefault="007124F0" w:rsidP="007124F0">
            <w:pPr>
              <w:jc w:val="center"/>
              <w:rPr>
                <w:rFonts w:cs="Arial"/>
                <w:sz w:val="22"/>
                <w:szCs w:val="22"/>
              </w:rPr>
            </w:pPr>
            <w:r w:rsidRPr="00782D51">
              <w:rPr>
                <w:rFonts w:cs="Arial"/>
                <w:sz w:val="22"/>
                <w:szCs w:val="22"/>
              </w:rPr>
              <w:t>-0.185***</w:t>
            </w:r>
          </w:p>
        </w:tc>
      </w:tr>
      <w:tr w:rsidR="007124F0" w:rsidRPr="00782D51" w:rsidTr="007124F0">
        <w:trPr>
          <w:trHeight w:val="264"/>
        </w:trPr>
        <w:tc>
          <w:tcPr>
            <w:tcW w:w="2708" w:type="dxa"/>
            <w:tcBorders>
              <w:bottom w:val="double" w:sz="4" w:space="0" w:color="auto"/>
            </w:tcBorders>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sz w:val="22"/>
                <w:szCs w:val="22"/>
              </w:rPr>
              <w:t xml:space="preserve">By </w:t>
            </w:r>
            <w:r w:rsidRPr="00782D51">
              <w:rPr>
                <w:rFonts w:cs="Arial"/>
                <w:i/>
                <w:sz w:val="22"/>
                <w:szCs w:val="22"/>
              </w:rPr>
              <w:t>BookLeverage</w:t>
            </w:r>
          </w:p>
        </w:tc>
        <w:tc>
          <w:tcPr>
            <w:tcW w:w="2160"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1.087</w:t>
            </w:r>
          </w:p>
        </w:tc>
        <w:tc>
          <w:tcPr>
            <w:tcW w:w="2160"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1.283</w:t>
            </w:r>
          </w:p>
        </w:tc>
        <w:tc>
          <w:tcPr>
            <w:tcW w:w="2340"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-0.196***</w:t>
            </w:r>
          </w:p>
        </w:tc>
      </w:tr>
    </w:tbl>
    <w:p w:rsidR="007124F0" w:rsidRPr="00782D51" w:rsidRDefault="007124F0" w:rsidP="007124F0">
      <w:pPr>
        <w:jc w:val="both"/>
        <w:rPr>
          <w:sz w:val="22"/>
          <w:szCs w:val="22"/>
        </w:rPr>
      </w:pPr>
      <w:r w:rsidRPr="00782D51">
        <w:rPr>
          <w:sz w:val="22"/>
          <w:szCs w:val="22"/>
        </w:rPr>
        <w:t xml:space="preserve">Note: *** indicates statistical significance at the 1% (two-tail) test level. </w:t>
      </w:r>
    </w:p>
    <w:p w:rsidR="007124F0" w:rsidRPr="00F02477" w:rsidRDefault="007124F0" w:rsidP="007124F0">
      <w:pPr>
        <w:jc w:val="both"/>
        <w:rPr>
          <w:sz w:val="22"/>
          <w:szCs w:val="22"/>
        </w:rPr>
      </w:pPr>
    </w:p>
    <w:p w:rsidR="007124F0" w:rsidRPr="00B25705" w:rsidRDefault="007124F0" w:rsidP="007124F0">
      <w:pPr>
        <w:jc w:val="both"/>
      </w:pPr>
      <w:r>
        <w:br w:type="page"/>
      </w:r>
      <w:r w:rsidRPr="00B25705">
        <w:lastRenderedPageBreak/>
        <w:t xml:space="preserve">Table 3 – </w:t>
      </w:r>
      <w:r>
        <w:t xml:space="preserve">Stock </w:t>
      </w:r>
      <w:r w:rsidRPr="00B25705">
        <w:t xml:space="preserve">Market Performance </w:t>
      </w:r>
      <w:r>
        <w:t>of Firms Pre-Crisis and Duri</w:t>
      </w:r>
      <w:r w:rsidRPr="00B25705">
        <w:t>ng the 2007-2008 Financial Crisis</w:t>
      </w:r>
      <w:r>
        <w:t>, and Costs of Debt by Secured Market Leverage Group</w:t>
      </w:r>
    </w:p>
    <w:p w:rsidR="007124F0" w:rsidRPr="00B25705" w:rsidRDefault="007124F0" w:rsidP="007124F0">
      <w:pPr>
        <w:jc w:val="both"/>
      </w:pPr>
    </w:p>
    <w:p w:rsidR="007124F0" w:rsidRPr="00B25705" w:rsidRDefault="007124F0" w:rsidP="007124F0">
      <w:pPr>
        <w:jc w:val="both"/>
        <w:rPr>
          <w:sz w:val="22"/>
          <w:szCs w:val="22"/>
        </w:rPr>
      </w:pPr>
      <w:r w:rsidRPr="00B25705">
        <w:rPr>
          <w:sz w:val="22"/>
          <w:szCs w:val="22"/>
        </w:rPr>
        <w:t xml:space="preserve">This table reports average </w:t>
      </w:r>
      <w:r>
        <w:rPr>
          <w:sz w:val="22"/>
          <w:szCs w:val="22"/>
        </w:rPr>
        <w:t>annual</w:t>
      </w:r>
      <w:r w:rsidRPr="00B25705">
        <w:rPr>
          <w:sz w:val="22"/>
          <w:szCs w:val="22"/>
        </w:rPr>
        <w:t xml:space="preserve"> REIT returns by secured leverage groups over the period</w:t>
      </w:r>
      <w:r>
        <w:rPr>
          <w:sz w:val="22"/>
          <w:szCs w:val="22"/>
        </w:rPr>
        <w:t>s 1991-2006 and</w:t>
      </w:r>
      <w:r w:rsidRPr="00B25705">
        <w:rPr>
          <w:sz w:val="22"/>
          <w:szCs w:val="22"/>
        </w:rPr>
        <w:t xml:space="preserve"> 2007-2008. </w:t>
      </w:r>
      <w:r>
        <w:rPr>
          <w:sz w:val="22"/>
          <w:szCs w:val="22"/>
        </w:rPr>
        <w:t>Annual Equity R</w:t>
      </w:r>
      <w:r w:rsidRPr="00B25705">
        <w:rPr>
          <w:sz w:val="22"/>
          <w:szCs w:val="22"/>
        </w:rPr>
        <w:t xml:space="preserve">eturns </w:t>
      </w:r>
      <w:r>
        <w:rPr>
          <w:sz w:val="22"/>
          <w:szCs w:val="22"/>
        </w:rPr>
        <w:t>are calculated as</w:t>
      </w:r>
      <w:r w:rsidRPr="00B25705">
        <w:rPr>
          <w:sz w:val="22"/>
          <w:szCs w:val="22"/>
        </w:rPr>
        <w:t xml:space="preserve"> the sum of capital gains – (item #4412 at </w:t>
      </w:r>
      <w:r w:rsidRPr="00B25705">
        <w:rPr>
          <w:i/>
          <w:sz w:val="22"/>
          <w:szCs w:val="22"/>
        </w:rPr>
        <w:t>t</w:t>
      </w:r>
      <w:r w:rsidRPr="00B25705">
        <w:rPr>
          <w:sz w:val="22"/>
          <w:szCs w:val="22"/>
        </w:rPr>
        <w:t xml:space="preserve"> minus item #4412 at </w:t>
      </w:r>
      <w:r w:rsidRPr="00B25705">
        <w:rPr>
          <w:i/>
          <w:sz w:val="22"/>
          <w:szCs w:val="22"/>
        </w:rPr>
        <w:t>t-1</w:t>
      </w:r>
      <w:r>
        <w:rPr>
          <w:sz w:val="22"/>
          <w:szCs w:val="22"/>
        </w:rPr>
        <w:t>)/</w:t>
      </w:r>
      <w:r w:rsidRPr="00B25705">
        <w:rPr>
          <w:sz w:val="22"/>
          <w:szCs w:val="22"/>
        </w:rPr>
        <w:t xml:space="preserve">item #4412 at </w:t>
      </w:r>
      <w:r w:rsidRPr="00B25705">
        <w:rPr>
          <w:i/>
          <w:sz w:val="22"/>
          <w:szCs w:val="22"/>
        </w:rPr>
        <w:t>t-1</w:t>
      </w:r>
      <w:r w:rsidRPr="00B25705">
        <w:rPr>
          <w:sz w:val="22"/>
          <w:szCs w:val="22"/>
        </w:rPr>
        <w:t xml:space="preserve"> – plus dividends – item #14126/item #214 at </w:t>
      </w:r>
      <w:r w:rsidRPr="00B25705">
        <w:rPr>
          <w:i/>
          <w:sz w:val="22"/>
          <w:szCs w:val="22"/>
        </w:rPr>
        <w:t>t</w:t>
      </w:r>
      <w:r w:rsidRPr="00B25705">
        <w:rPr>
          <w:sz w:val="22"/>
          <w:szCs w:val="22"/>
        </w:rPr>
        <w:t xml:space="preserve">. </w:t>
      </w:r>
      <w:r>
        <w:rPr>
          <w:sz w:val="22"/>
          <w:szCs w:val="22"/>
        </w:rPr>
        <w:t>Annual Debt R</w:t>
      </w:r>
      <w:r w:rsidRPr="00B25705">
        <w:rPr>
          <w:sz w:val="22"/>
          <w:szCs w:val="22"/>
        </w:rPr>
        <w:t xml:space="preserve">eturns </w:t>
      </w:r>
      <w:r>
        <w:rPr>
          <w:sz w:val="22"/>
          <w:szCs w:val="22"/>
        </w:rPr>
        <w:t>are calculated as</w:t>
      </w:r>
      <w:r w:rsidRPr="00B25705">
        <w:rPr>
          <w:sz w:val="22"/>
          <w:szCs w:val="22"/>
        </w:rPr>
        <w:t xml:space="preserve"> the </w:t>
      </w:r>
      <w:r>
        <w:rPr>
          <w:sz w:val="22"/>
          <w:szCs w:val="22"/>
        </w:rPr>
        <w:t xml:space="preserve">ratio of total interest payments – item #7271 – to the sum of </w:t>
      </w:r>
      <w:r w:rsidRPr="00F02477">
        <w:rPr>
          <w:rFonts w:cs="dcr10"/>
          <w:sz w:val="22"/>
          <w:szCs w:val="22"/>
        </w:rPr>
        <w:t>total liabilities plus mezzanine debt</w:t>
      </w:r>
      <w:r>
        <w:rPr>
          <w:sz w:val="22"/>
          <w:szCs w:val="22"/>
        </w:rPr>
        <w:t xml:space="preserve">. </w:t>
      </w:r>
      <w:r w:rsidRPr="00B25705">
        <w:rPr>
          <w:sz w:val="22"/>
          <w:szCs w:val="22"/>
        </w:rPr>
        <w:t xml:space="preserve">All firm level data are from SNL Datasource over the sample period 1991-2007. Refer to Table 1 for detailed variable definitions. The sample includes </w:t>
      </w:r>
      <w:r>
        <w:rPr>
          <w:sz w:val="22"/>
          <w:szCs w:val="22"/>
        </w:rPr>
        <w:t>multi-family</w:t>
      </w:r>
      <w:r w:rsidRPr="00B25705">
        <w:rPr>
          <w:sz w:val="22"/>
          <w:szCs w:val="22"/>
        </w:rPr>
        <w:t>, retail</w:t>
      </w:r>
      <w:r>
        <w:rPr>
          <w:sz w:val="22"/>
          <w:szCs w:val="22"/>
        </w:rPr>
        <w:t>, office, and industrial REITs.</w:t>
      </w:r>
    </w:p>
    <w:p w:rsidR="007124F0" w:rsidRDefault="007124F0" w:rsidP="007124F0">
      <w:pPr>
        <w:jc w:val="both"/>
        <w:rPr>
          <w:sz w:val="22"/>
          <w:szCs w:val="22"/>
        </w:rPr>
      </w:pPr>
    </w:p>
    <w:tbl>
      <w:tblPr>
        <w:tblW w:w="9368" w:type="dxa"/>
        <w:tblLook w:val="0000"/>
      </w:tblPr>
      <w:tblGrid>
        <w:gridCol w:w="3108"/>
        <w:gridCol w:w="2040"/>
        <w:gridCol w:w="2040"/>
        <w:gridCol w:w="2180"/>
      </w:tblGrid>
      <w:tr w:rsidR="007124F0" w:rsidRPr="00B25705" w:rsidTr="007124F0">
        <w:trPr>
          <w:trHeight w:val="264"/>
        </w:trPr>
        <w:tc>
          <w:tcPr>
            <w:tcW w:w="3108"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p>
        </w:tc>
        <w:tc>
          <w:tcPr>
            <w:tcW w:w="2040"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Above Median Group</w:t>
            </w:r>
          </w:p>
          <w:p w:rsidR="007124F0" w:rsidRPr="0063742F" w:rsidRDefault="007124F0" w:rsidP="007124F0">
            <w:pPr>
              <w:jc w:val="center"/>
              <w:rPr>
                <w:rFonts w:cs="Arial"/>
                <w:sz w:val="20"/>
                <w:szCs w:val="20"/>
              </w:rPr>
            </w:pPr>
          </w:p>
        </w:tc>
        <w:tc>
          <w:tcPr>
            <w:tcW w:w="2040"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Below Median Group</w:t>
            </w:r>
          </w:p>
          <w:p w:rsidR="007124F0" w:rsidRPr="0063742F" w:rsidRDefault="007124F0" w:rsidP="007124F0">
            <w:pPr>
              <w:jc w:val="center"/>
              <w:rPr>
                <w:rFonts w:cs="Arial"/>
                <w:sz w:val="20"/>
                <w:szCs w:val="20"/>
              </w:rPr>
            </w:pPr>
          </w:p>
        </w:tc>
        <w:tc>
          <w:tcPr>
            <w:tcW w:w="2180"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Difference</w:t>
            </w:r>
          </w:p>
          <w:p w:rsidR="007124F0" w:rsidRPr="0063742F" w:rsidRDefault="007124F0" w:rsidP="007124F0">
            <w:pPr>
              <w:jc w:val="center"/>
              <w:rPr>
                <w:rFonts w:cs="Arial"/>
                <w:sz w:val="20"/>
                <w:szCs w:val="20"/>
              </w:rPr>
            </w:pPr>
            <w:r w:rsidRPr="0063742F">
              <w:rPr>
                <w:rFonts w:cs="Arial"/>
                <w:sz w:val="20"/>
                <w:szCs w:val="20"/>
              </w:rPr>
              <w:t>Above – Below Median</w:t>
            </w:r>
          </w:p>
          <w:p w:rsidR="007124F0" w:rsidRPr="0063742F" w:rsidRDefault="007124F0" w:rsidP="007124F0">
            <w:pPr>
              <w:jc w:val="center"/>
              <w:rPr>
                <w:rFonts w:cs="Arial"/>
                <w:sz w:val="20"/>
                <w:szCs w:val="20"/>
              </w:rPr>
            </w:pPr>
          </w:p>
        </w:tc>
      </w:tr>
      <w:tr w:rsidR="007124F0" w:rsidRPr="00B25705" w:rsidTr="007124F0">
        <w:trPr>
          <w:trHeight w:val="264"/>
        </w:trPr>
        <w:tc>
          <w:tcPr>
            <w:tcW w:w="3108" w:type="dxa"/>
            <w:tcBorders>
              <w:top w:val="double" w:sz="4" w:space="0" w:color="auto"/>
              <w:bottom w:val="single" w:sz="4" w:space="0" w:color="auto"/>
            </w:tcBorders>
            <w:noWrap/>
            <w:vAlign w:val="bottom"/>
          </w:tcPr>
          <w:p w:rsidR="007124F0" w:rsidRPr="0063742F" w:rsidRDefault="007124F0" w:rsidP="007124F0">
            <w:pPr>
              <w:rPr>
                <w:rFonts w:cs="Arial"/>
                <w:sz w:val="10"/>
                <w:szCs w:val="10"/>
              </w:rPr>
            </w:pPr>
          </w:p>
          <w:p w:rsidR="007124F0" w:rsidRDefault="007124F0" w:rsidP="007124F0">
            <w:pPr>
              <w:rPr>
                <w:rFonts w:cs="Arial"/>
                <w:i/>
                <w:sz w:val="20"/>
                <w:szCs w:val="20"/>
              </w:rPr>
            </w:pPr>
            <w:r w:rsidRPr="0063742F">
              <w:rPr>
                <w:rFonts w:cs="Arial"/>
                <w:sz w:val="20"/>
                <w:szCs w:val="20"/>
              </w:rPr>
              <w:t xml:space="preserve">By </w:t>
            </w:r>
            <w:r w:rsidRPr="0063742F">
              <w:rPr>
                <w:rFonts w:cs="Arial"/>
                <w:i/>
                <w:sz w:val="20"/>
                <w:szCs w:val="20"/>
              </w:rPr>
              <w:t>SecuredMarketLeverage</w:t>
            </w:r>
          </w:p>
          <w:p w:rsidR="007124F0" w:rsidRPr="0063742F" w:rsidRDefault="007124F0" w:rsidP="007124F0">
            <w:pPr>
              <w:rPr>
                <w:rFonts w:cs="Arial"/>
                <w:sz w:val="10"/>
                <w:szCs w:val="10"/>
              </w:rPr>
            </w:pPr>
          </w:p>
        </w:tc>
        <w:tc>
          <w:tcPr>
            <w:tcW w:w="2040"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p>
        </w:tc>
        <w:tc>
          <w:tcPr>
            <w:tcW w:w="2040"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p>
        </w:tc>
        <w:tc>
          <w:tcPr>
            <w:tcW w:w="2180" w:type="dxa"/>
            <w:tcBorders>
              <w:top w:val="double" w:sz="4" w:space="0" w:color="auto"/>
              <w:bottom w:val="single" w:sz="4" w:space="0" w:color="auto"/>
            </w:tcBorders>
            <w:noWrap/>
            <w:vAlign w:val="bottom"/>
          </w:tcPr>
          <w:p w:rsidR="007124F0" w:rsidRPr="0063742F" w:rsidRDefault="007124F0" w:rsidP="007124F0">
            <w:pPr>
              <w:jc w:val="center"/>
              <w:rPr>
                <w:rFonts w:cs="Arial"/>
                <w:sz w:val="20"/>
                <w:szCs w:val="20"/>
              </w:rPr>
            </w:pPr>
          </w:p>
        </w:tc>
      </w:tr>
      <w:tr w:rsidR="007124F0" w:rsidRPr="00B25705" w:rsidTr="007124F0">
        <w:trPr>
          <w:trHeight w:val="264"/>
        </w:trPr>
        <w:tc>
          <w:tcPr>
            <w:tcW w:w="3108" w:type="dxa"/>
            <w:noWrap/>
            <w:vAlign w:val="bottom"/>
          </w:tcPr>
          <w:p w:rsidR="007124F0" w:rsidRPr="0063742F" w:rsidRDefault="007124F0" w:rsidP="007124F0">
            <w:pPr>
              <w:rPr>
                <w:rFonts w:cs="Arial"/>
                <w:i/>
                <w:sz w:val="20"/>
                <w:szCs w:val="20"/>
              </w:rPr>
            </w:pPr>
            <w:r w:rsidRPr="0063742F">
              <w:rPr>
                <w:rFonts w:cs="Arial"/>
                <w:i/>
                <w:sz w:val="20"/>
                <w:szCs w:val="20"/>
              </w:rPr>
              <w:t xml:space="preserve">1991-2006 Annual </w:t>
            </w:r>
            <w:r>
              <w:rPr>
                <w:rFonts w:cs="Arial"/>
                <w:i/>
                <w:sz w:val="20"/>
                <w:szCs w:val="20"/>
              </w:rPr>
              <w:t xml:space="preserve">Equity </w:t>
            </w:r>
            <w:r w:rsidRPr="0063742F">
              <w:rPr>
                <w:rFonts w:cs="Arial"/>
                <w:i/>
                <w:sz w:val="20"/>
                <w:szCs w:val="20"/>
              </w:rPr>
              <w:t>Returns</w:t>
            </w:r>
          </w:p>
        </w:tc>
        <w:tc>
          <w:tcPr>
            <w:tcW w:w="2040" w:type="dxa"/>
            <w:noWrap/>
            <w:vAlign w:val="bottom"/>
          </w:tcPr>
          <w:p w:rsidR="007124F0" w:rsidRPr="0063742F" w:rsidRDefault="007124F0" w:rsidP="007124F0">
            <w:pPr>
              <w:jc w:val="center"/>
              <w:rPr>
                <w:rFonts w:cs="Arial"/>
                <w:sz w:val="20"/>
                <w:szCs w:val="20"/>
              </w:rPr>
            </w:pPr>
            <w:r w:rsidRPr="0063742F">
              <w:rPr>
                <w:rFonts w:cs="Arial"/>
                <w:sz w:val="20"/>
                <w:szCs w:val="20"/>
              </w:rPr>
              <w:t>12.14</w:t>
            </w:r>
          </w:p>
        </w:tc>
        <w:tc>
          <w:tcPr>
            <w:tcW w:w="2040" w:type="dxa"/>
            <w:noWrap/>
            <w:vAlign w:val="bottom"/>
          </w:tcPr>
          <w:p w:rsidR="007124F0" w:rsidRPr="0063742F" w:rsidRDefault="007124F0" w:rsidP="007124F0">
            <w:pPr>
              <w:jc w:val="center"/>
              <w:rPr>
                <w:rFonts w:cs="Arial"/>
                <w:sz w:val="20"/>
                <w:szCs w:val="20"/>
              </w:rPr>
            </w:pPr>
            <w:r w:rsidRPr="0063742F">
              <w:rPr>
                <w:rFonts w:cs="Arial"/>
                <w:sz w:val="20"/>
                <w:szCs w:val="20"/>
              </w:rPr>
              <w:t>16.49</w:t>
            </w:r>
          </w:p>
        </w:tc>
        <w:tc>
          <w:tcPr>
            <w:tcW w:w="2180" w:type="dxa"/>
            <w:noWrap/>
            <w:vAlign w:val="bottom"/>
          </w:tcPr>
          <w:p w:rsidR="007124F0" w:rsidRPr="0063742F" w:rsidRDefault="007124F0" w:rsidP="007124F0">
            <w:pPr>
              <w:jc w:val="center"/>
              <w:rPr>
                <w:rFonts w:cs="Arial"/>
                <w:sz w:val="20"/>
                <w:szCs w:val="20"/>
              </w:rPr>
            </w:pPr>
            <w:r w:rsidRPr="0063742F">
              <w:rPr>
                <w:rFonts w:cs="Arial"/>
                <w:sz w:val="20"/>
                <w:szCs w:val="20"/>
              </w:rPr>
              <w:t>-4.35**</w:t>
            </w:r>
          </w:p>
        </w:tc>
      </w:tr>
      <w:tr w:rsidR="007124F0" w:rsidRPr="00B25705" w:rsidTr="007124F0">
        <w:trPr>
          <w:trHeight w:val="264"/>
        </w:trPr>
        <w:tc>
          <w:tcPr>
            <w:tcW w:w="3108" w:type="dxa"/>
            <w:noWrap/>
            <w:vAlign w:val="bottom"/>
          </w:tcPr>
          <w:p w:rsidR="007124F0" w:rsidRDefault="007124F0" w:rsidP="007124F0">
            <w:pPr>
              <w:rPr>
                <w:rFonts w:cs="Arial"/>
                <w:i/>
                <w:sz w:val="20"/>
                <w:szCs w:val="20"/>
              </w:rPr>
            </w:pPr>
          </w:p>
          <w:p w:rsidR="007124F0" w:rsidRPr="0063742F" w:rsidRDefault="007124F0" w:rsidP="007124F0">
            <w:pPr>
              <w:rPr>
                <w:rFonts w:cs="Arial"/>
                <w:i/>
                <w:sz w:val="20"/>
                <w:szCs w:val="20"/>
              </w:rPr>
            </w:pPr>
            <w:r w:rsidRPr="0063742F">
              <w:rPr>
                <w:rFonts w:cs="Arial"/>
                <w:i/>
                <w:sz w:val="20"/>
                <w:szCs w:val="20"/>
              </w:rPr>
              <w:t xml:space="preserve">2007-2008 Annual </w:t>
            </w:r>
            <w:r>
              <w:rPr>
                <w:rFonts w:cs="Arial"/>
                <w:i/>
                <w:sz w:val="20"/>
                <w:szCs w:val="20"/>
              </w:rPr>
              <w:t xml:space="preserve">Equity </w:t>
            </w:r>
            <w:r w:rsidRPr="0063742F">
              <w:rPr>
                <w:rFonts w:cs="Arial"/>
                <w:i/>
                <w:sz w:val="20"/>
                <w:szCs w:val="20"/>
              </w:rPr>
              <w:t xml:space="preserve">Returns </w:t>
            </w:r>
          </w:p>
        </w:tc>
        <w:tc>
          <w:tcPr>
            <w:tcW w:w="2040" w:type="dxa"/>
            <w:noWrap/>
            <w:vAlign w:val="bottom"/>
          </w:tcPr>
          <w:p w:rsidR="007124F0" w:rsidRPr="0063742F" w:rsidRDefault="007124F0" w:rsidP="007124F0">
            <w:pPr>
              <w:jc w:val="center"/>
              <w:rPr>
                <w:rFonts w:cs="Arial"/>
                <w:sz w:val="20"/>
                <w:szCs w:val="20"/>
              </w:rPr>
            </w:pPr>
            <w:r>
              <w:rPr>
                <w:rFonts w:cs="Arial"/>
                <w:sz w:val="20"/>
                <w:szCs w:val="20"/>
              </w:rPr>
              <w:t>-</w:t>
            </w:r>
            <w:r w:rsidRPr="0063742F">
              <w:rPr>
                <w:rFonts w:cs="Arial"/>
                <w:sz w:val="20"/>
                <w:szCs w:val="20"/>
              </w:rPr>
              <w:t>35.47</w:t>
            </w:r>
          </w:p>
        </w:tc>
        <w:tc>
          <w:tcPr>
            <w:tcW w:w="2040" w:type="dxa"/>
            <w:noWrap/>
            <w:vAlign w:val="bottom"/>
          </w:tcPr>
          <w:p w:rsidR="007124F0" w:rsidRPr="0063742F" w:rsidRDefault="007124F0" w:rsidP="007124F0">
            <w:pPr>
              <w:jc w:val="center"/>
              <w:rPr>
                <w:rFonts w:cs="Arial"/>
                <w:sz w:val="20"/>
                <w:szCs w:val="20"/>
              </w:rPr>
            </w:pPr>
            <w:r>
              <w:rPr>
                <w:rFonts w:cs="Arial"/>
                <w:sz w:val="20"/>
                <w:szCs w:val="20"/>
              </w:rPr>
              <w:t>-</w:t>
            </w:r>
            <w:r w:rsidRPr="0063742F">
              <w:rPr>
                <w:rFonts w:cs="Arial"/>
                <w:sz w:val="20"/>
                <w:szCs w:val="20"/>
              </w:rPr>
              <w:t>25.32</w:t>
            </w:r>
          </w:p>
        </w:tc>
        <w:tc>
          <w:tcPr>
            <w:tcW w:w="2180" w:type="dxa"/>
            <w:noWrap/>
            <w:vAlign w:val="bottom"/>
          </w:tcPr>
          <w:p w:rsidR="007124F0" w:rsidRPr="0063742F" w:rsidRDefault="007124F0" w:rsidP="007124F0">
            <w:pPr>
              <w:jc w:val="center"/>
              <w:rPr>
                <w:rFonts w:cs="Arial"/>
                <w:sz w:val="20"/>
                <w:szCs w:val="20"/>
              </w:rPr>
            </w:pPr>
            <w:r w:rsidRPr="0063742F">
              <w:rPr>
                <w:rFonts w:cs="Arial"/>
                <w:sz w:val="20"/>
                <w:szCs w:val="20"/>
              </w:rPr>
              <w:t>-10.15**</w:t>
            </w:r>
          </w:p>
        </w:tc>
      </w:tr>
      <w:tr w:rsidR="007124F0" w:rsidRPr="00B25705" w:rsidTr="007124F0">
        <w:trPr>
          <w:trHeight w:val="264"/>
        </w:trPr>
        <w:tc>
          <w:tcPr>
            <w:tcW w:w="3108" w:type="dxa"/>
            <w:tcBorders>
              <w:bottom w:val="single" w:sz="4" w:space="0" w:color="auto"/>
            </w:tcBorders>
            <w:noWrap/>
            <w:vAlign w:val="bottom"/>
          </w:tcPr>
          <w:p w:rsidR="007124F0" w:rsidRDefault="007124F0" w:rsidP="007124F0">
            <w:pPr>
              <w:rPr>
                <w:rFonts w:cs="Arial"/>
                <w:i/>
                <w:sz w:val="20"/>
                <w:szCs w:val="20"/>
              </w:rPr>
            </w:pPr>
          </w:p>
          <w:p w:rsidR="007124F0" w:rsidRPr="0063742F" w:rsidRDefault="007124F0" w:rsidP="007124F0">
            <w:pPr>
              <w:rPr>
                <w:rFonts w:cs="Arial"/>
                <w:i/>
                <w:sz w:val="20"/>
                <w:szCs w:val="20"/>
              </w:rPr>
            </w:pPr>
            <w:r>
              <w:rPr>
                <w:rFonts w:cs="Arial"/>
                <w:i/>
                <w:sz w:val="20"/>
                <w:szCs w:val="20"/>
              </w:rPr>
              <w:t>1991-2006</w:t>
            </w:r>
            <w:r w:rsidRPr="0063742F">
              <w:rPr>
                <w:rFonts w:cs="Arial"/>
                <w:i/>
                <w:sz w:val="20"/>
                <w:szCs w:val="20"/>
              </w:rPr>
              <w:t xml:space="preserve"> Annual </w:t>
            </w:r>
            <w:r>
              <w:rPr>
                <w:rFonts w:cs="Arial"/>
                <w:i/>
                <w:sz w:val="20"/>
                <w:szCs w:val="20"/>
              </w:rPr>
              <w:t>Debt Returns</w:t>
            </w:r>
          </w:p>
        </w:tc>
        <w:tc>
          <w:tcPr>
            <w:tcW w:w="2040" w:type="dxa"/>
            <w:tcBorders>
              <w:bottom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5.45</w:t>
            </w:r>
          </w:p>
        </w:tc>
        <w:tc>
          <w:tcPr>
            <w:tcW w:w="2040" w:type="dxa"/>
            <w:tcBorders>
              <w:bottom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5.10</w:t>
            </w:r>
          </w:p>
        </w:tc>
        <w:tc>
          <w:tcPr>
            <w:tcW w:w="2180" w:type="dxa"/>
            <w:tcBorders>
              <w:bottom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0.34***</w:t>
            </w:r>
          </w:p>
        </w:tc>
      </w:tr>
      <w:tr w:rsidR="007124F0" w:rsidRPr="00B25705" w:rsidTr="007124F0">
        <w:trPr>
          <w:trHeight w:val="264"/>
        </w:trPr>
        <w:tc>
          <w:tcPr>
            <w:tcW w:w="3108" w:type="dxa"/>
            <w:tcBorders>
              <w:top w:val="single" w:sz="4" w:space="0" w:color="auto"/>
              <w:bottom w:val="single" w:sz="4" w:space="0" w:color="auto"/>
            </w:tcBorders>
            <w:noWrap/>
            <w:vAlign w:val="bottom"/>
          </w:tcPr>
          <w:p w:rsidR="007124F0" w:rsidRPr="0063742F" w:rsidRDefault="007124F0" w:rsidP="007124F0">
            <w:pPr>
              <w:rPr>
                <w:rFonts w:cs="Arial"/>
                <w:i/>
                <w:sz w:val="10"/>
                <w:szCs w:val="10"/>
              </w:rPr>
            </w:pPr>
          </w:p>
          <w:p w:rsidR="007124F0" w:rsidRDefault="007124F0" w:rsidP="007124F0">
            <w:pPr>
              <w:rPr>
                <w:rFonts w:cs="Arial"/>
                <w:i/>
                <w:sz w:val="20"/>
                <w:szCs w:val="20"/>
              </w:rPr>
            </w:pPr>
            <w:r w:rsidRPr="0063742F">
              <w:rPr>
                <w:rFonts w:cs="Arial"/>
                <w:i/>
                <w:sz w:val="20"/>
                <w:szCs w:val="20"/>
              </w:rPr>
              <w:t>By SecuredBookLeverage</w:t>
            </w:r>
          </w:p>
          <w:p w:rsidR="007124F0" w:rsidRPr="0063742F" w:rsidRDefault="007124F0" w:rsidP="007124F0">
            <w:pPr>
              <w:rPr>
                <w:rFonts w:cs="Arial"/>
                <w:i/>
                <w:sz w:val="10"/>
                <w:szCs w:val="10"/>
              </w:rPr>
            </w:pPr>
          </w:p>
        </w:tc>
        <w:tc>
          <w:tcPr>
            <w:tcW w:w="2040" w:type="dxa"/>
            <w:tcBorders>
              <w:top w:val="single" w:sz="4" w:space="0" w:color="auto"/>
              <w:bottom w:val="single" w:sz="4" w:space="0" w:color="auto"/>
            </w:tcBorders>
            <w:noWrap/>
            <w:vAlign w:val="bottom"/>
          </w:tcPr>
          <w:p w:rsidR="007124F0" w:rsidRPr="0063742F" w:rsidRDefault="007124F0" w:rsidP="007124F0">
            <w:pPr>
              <w:jc w:val="center"/>
              <w:rPr>
                <w:rFonts w:cs="Arial"/>
                <w:sz w:val="20"/>
                <w:szCs w:val="20"/>
              </w:rPr>
            </w:pPr>
          </w:p>
        </w:tc>
        <w:tc>
          <w:tcPr>
            <w:tcW w:w="2040" w:type="dxa"/>
            <w:tcBorders>
              <w:top w:val="single" w:sz="4" w:space="0" w:color="auto"/>
              <w:bottom w:val="single" w:sz="4" w:space="0" w:color="auto"/>
            </w:tcBorders>
            <w:noWrap/>
            <w:vAlign w:val="bottom"/>
          </w:tcPr>
          <w:p w:rsidR="007124F0" w:rsidRPr="0063742F" w:rsidRDefault="007124F0" w:rsidP="007124F0">
            <w:pPr>
              <w:jc w:val="center"/>
              <w:rPr>
                <w:rFonts w:cs="Arial"/>
                <w:sz w:val="20"/>
                <w:szCs w:val="20"/>
              </w:rPr>
            </w:pPr>
          </w:p>
        </w:tc>
        <w:tc>
          <w:tcPr>
            <w:tcW w:w="2180" w:type="dxa"/>
            <w:tcBorders>
              <w:top w:val="single" w:sz="4" w:space="0" w:color="auto"/>
              <w:bottom w:val="single" w:sz="4" w:space="0" w:color="auto"/>
            </w:tcBorders>
            <w:noWrap/>
            <w:vAlign w:val="bottom"/>
          </w:tcPr>
          <w:p w:rsidR="007124F0" w:rsidRPr="0063742F" w:rsidRDefault="007124F0" w:rsidP="007124F0">
            <w:pPr>
              <w:jc w:val="center"/>
              <w:rPr>
                <w:rFonts w:cs="Arial"/>
                <w:sz w:val="20"/>
                <w:szCs w:val="20"/>
              </w:rPr>
            </w:pPr>
          </w:p>
        </w:tc>
      </w:tr>
      <w:tr w:rsidR="007124F0" w:rsidRPr="00B25705" w:rsidTr="007124F0">
        <w:trPr>
          <w:trHeight w:val="264"/>
        </w:trPr>
        <w:tc>
          <w:tcPr>
            <w:tcW w:w="3108" w:type="dxa"/>
            <w:tcBorders>
              <w:top w:val="single" w:sz="4" w:space="0" w:color="auto"/>
            </w:tcBorders>
            <w:noWrap/>
            <w:vAlign w:val="bottom"/>
          </w:tcPr>
          <w:p w:rsidR="007124F0" w:rsidRPr="0063742F" w:rsidRDefault="007124F0" w:rsidP="007124F0">
            <w:pPr>
              <w:rPr>
                <w:rFonts w:cs="Arial"/>
                <w:i/>
                <w:sz w:val="20"/>
                <w:szCs w:val="20"/>
              </w:rPr>
            </w:pPr>
            <w:r w:rsidRPr="0063742F">
              <w:rPr>
                <w:rFonts w:cs="Arial"/>
                <w:i/>
                <w:sz w:val="20"/>
                <w:szCs w:val="20"/>
              </w:rPr>
              <w:t xml:space="preserve">1991-2006 Annual </w:t>
            </w:r>
            <w:r>
              <w:rPr>
                <w:rFonts w:cs="Arial"/>
                <w:i/>
                <w:sz w:val="20"/>
                <w:szCs w:val="20"/>
              </w:rPr>
              <w:t xml:space="preserve">Equity </w:t>
            </w:r>
            <w:r w:rsidRPr="0063742F">
              <w:rPr>
                <w:rFonts w:cs="Arial"/>
                <w:i/>
                <w:sz w:val="20"/>
                <w:szCs w:val="20"/>
              </w:rPr>
              <w:t>Returns</w:t>
            </w:r>
          </w:p>
        </w:tc>
        <w:tc>
          <w:tcPr>
            <w:tcW w:w="2040" w:type="dxa"/>
            <w:tcBorders>
              <w:top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13.46</w:t>
            </w:r>
          </w:p>
        </w:tc>
        <w:tc>
          <w:tcPr>
            <w:tcW w:w="2040" w:type="dxa"/>
            <w:tcBorders>
              <w:top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14.77</w:t>
            </w:r>
          </w:p>
        </w:tc>
        <w:tc>
          <w:tcPr>
            <w:tcW w:w="2180" w:type="dxa"/>
            <w:tcBorders>
              <w:top w:val="sing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-1.31</w:t>
            </w:r>
          </w:p>
        </w:tc>
      </w:tr>
      <w:tr w:rsidR="007124F0" w:rsidRPr="00B25705" w:rsidTr="007124F0">
        <w:trPr>
          <w:trHeight w:val="264"/>
        </w:trPr>
        <w:tc>
          <w:tcPr>
            <w:tcW w:w="3108" w:type="dxa"/>
            <w:noWrap/>
            <w:vAlign w:val="bottom"/>
          </w:tcPr>
          <w:p w:rsidR="007124F0" w:rsidRDefault="007124F0" w:rsidP="007124F0">
            <w:pPr>
              <w:rPr>
                <w:rFonts w:cs="Arial"/>
                <w:i/>
                <w:sz w:val="20"/>
                <w:szCs w:val="20"/>
              </w:rPr>
            </w:pPr>
          </w:p>
          <w:p w:rsidR="007124F0" w:rsidRPr="0063742F" w:rsidRDefault="007124F0" w:rsidP="007124F0">
            <w:pPr>
              <w:rPr>
                <w:rFonts w:cs="Arial"/>
                <w:i/>
                <w:sz w:val="20"/>
                <w:szCs w:val="20"/>
              </w:rPr>
            </w:pPr>
            <w:r w:rsidRPr="0063742F">
              <w:rPr>
                <w:rFonts w:cs="Arial"/>
                <w:i/>
                <w:sz w:val="20"/>
                <w:szCs w:val="20"/>
              </w:rPr>
              <w:t xml:space="preserve">2007-2008 Annual </w:t>
            </w:r>
            <w:r>
              <w:rPr>
                <w:rFonts w:cs="Arial"/>
                <w:i/>
                <w:sz w:val="20"/>
                <w:szCs w:val="20"/>
              </w:rPr>
              <w:t xml:space="preserve">Equity </w:t>
            </w:r>
            <w:r w:rsidRPr="0063742F">
              <w:rPr>
                <w:rFonts w:cs="Arial"/>
                <w:i/>
                <w:sz w:val="20"/>
                <w:szCs w:val="20"/>
              </w:rPr>
              <w:t xml:space="preserve">Returns </w:t>
            </w:r>
          </w:p>
        </w:tc>
        <w:tc>
          <w:tcPr>
            <w:tcW w:w="2040" w:type="dxa"/>
            <w:noWrap/>
            <w:vAlign w:val="bottom"/>
          </w:tcPr>
          <w:p w:rsidR="007124F0" w:rsidRPr="0063742F" w:rsidRDefault="007124F0" w:rsidP="007124F0">
            <w:pPr>
              <w:jc w:val="center"/>
              <w:rPr>
                <w:rFonts w:cs="Arial"/>
                <w:sz w:val="20"/>
                <w:szCs w:val="20"/>
              </w:rPr>
            </w:pPr>
            <w:r w:rsidRPr="0063742F">
              <w:rPr>
                <w:rFonts w:cs="Arial"/>
                <w:sz w:val="20"/>
                <w:szCs w:val="20"/>
              </w:rPr>
              <w:t>-31.36</w:t>
            </w:r>
          </w:p>
        </w:tc>
        <w:tc>
          <w:tcPr>
            <w:tcW w:w="2040" w:type="dxa"/>
            <w:noWrap/>
            <w:vAlign w:val="bottom"/>
          </w:tcPr>
          <w:p w:rsidR="007124F0" w:rsidRPr="0063742F" w:rsidRDefault="007124F0" w:rsidP="007124F0">
            <w:pPr>
              <w:jc w:val="center"/>
              <w:rPr>
                <w:rFonts w:cs="Arial"/>
                <w:sz w:val="20"/>
                <w:szCs w:val="20"/>
              </w:rPr>
            </w:pPr>
            <w:r w:rsidRPr="0063742F">
              <w:rPr>
                <w:rFonts w:cs="Arial"/>
                <w:sz w:val="20"/>
                <w:szCs w:val="20"/>
              </w:rPr>
              <w:t>-26.00</w:t>
            </w:r>
          </w:p>
        </w:tc>
        <w:tc>
          <w:tcPr>
            <w:tcW w:w="2180" w:type="dxa"/>
            <w:noWrap/>
            <w:vAlign w:val="bottom"/>
          </w:tcPr>
          <w:p w:rsidR="007124F0" w:rsidRPr="0063742F" w:rsidRDefault="007124F0" w:rsidP="007124F0">
            <w:pPr>
              <w:jc w:val="center"/>
              <w:rPr>
                <w:rFonts w:cs="Arial"/>
                <w:sz w:val="20"/>
                <w:szCs w:val="20"/>
              </w:rPr>
            </w:pPr>
            <w:r w:rsidRPr="0063742F">
              <w:rPr>
                <w:rFonts w:cs="Arial"/>
                <w:sz w:val="20"/>
                <w:szCs w:val="20"/>
              </w:rPr>
              <w:t>-5.36</w:t>
            </w:r>
          </w:p>
        </w:tc>
      </w:tr>
      <w:tr w:rsidR="007124F0" w:rsidRPr="00B25705" w:rsidTr="007124F0">
        <w:trPr>
          <w:trHeight w:val="264"/>
        </w:trPr>
        <w:tc>
          <w:tcPr>
            <w:tcW w:w="3108" w:type="dxa"/>
            <w:tcBorders>
              <w:bottom w:val="double" w:sz="4" w:space="0" w:color="auto"/>
            </w:tcBorders>
            <w:noWrap/>
            <w:vAlign w:val="bottom"/>
          </w:tcPr>
          <w:p w:rsidR="007124F0" w:rsidRDefault="007124F0" w:rsidP="007124F0">
            <w:pPr>
              <w:rPr>
                <w:rFonts w:cs="Arial"/>
                <w:i/>
                <w:sz w:val="20"/>
                <w:szCs w:val="20"/>
              </w:rPr>
            </w:pPr>
          </w:p>
          <w:p w:rsidR="007124F0" w:rsidRPr="0063742F" w:rsidRDefault="007124F0" w:rsidP="007124F0">
            <w:pPr>
              <w:rPr>
                <w:rFonts w:cs="Arial"/>
                <w:i/>
                <w:sz w:val="20"/>
                <w:szCs w:val="20"/>
              </w:rPr>
            </w:pPr>
            <w:r>
              <w:rPr>
                <w:rFonts w:cs="Arial"/>
                <w:i/>
                <w:sz w:val="20"/>
                <w:szCs w:val="20"/>
              </w:rPr>
              <w:t>1991-2006</w:t>
            </w:r>
            <w:r w:rsidRPr="0063742F">
              <w:rPr>
                <w:rFonts w:cs="Arial"/>
                <w:i/>
                <w:sz w:val="20"/>
                <w:szCs w:val="20"/>
              </w:rPr>
              <w:t xml:space="preserve"> Annual </w:t>
            </w:r>
            <w:r>
              <w:rPr>
                <w:rFonts w:cs="Arial"/>
                <w:i/>
                <w:sz w:val="20"/>
                <w:szCs w:val="20"/>
              </w:rPr>
              <w:t>Debt Returns</w:t>
            </w:r>
          </w:p>
        </w:tc>
        <w:tc>
          <w:tcPr>
            <w:tcW w:w="2040" w:type="dxa"/>
            <w:tcBorders>
              <w:bottom w:val="doub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5.42</w:t>
            </w:r>
          </w:p>
        </w:tc>
        <w:tc>
          <w:tcPr>
            <w:tcW w:w="2040" w:type="dxa"/>
            <w:tcBorders>
              <w:bottom w:val="doub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5.16</w:t>
            </w:r>
          </w:p>
        </w:tc>
        <w:tc>
          <w:tcPr>
            <w:tcW w:w="2180" w:type="dxa"/>
            <w:tcBorders>
              <w:bottom w:val="double" w:sz="4" w:space="0" w:color="auto"/>
            </w:tcBorders>
            <w:noWrap/>
            <w:vAlign w:val="bottom"/>
          </w:tcPr>
          <w:p w:rsidR="007124F0" w:rsidRPr="0063742F" w:rsidRDefault="007124F0" w:rsidP="007124F0">
            <w:pPr>
              <w:jc w:val="center"/>
              <w:rPr>
                <w:rFonts w:cs="Arial"/>
                <w:sz w:val="20"/>
                <w:szCs w:val="20"/>
              </w:rPr>
            </w:pPr>
            <w:r w:rsidRPr="0063742F">
              <w:rPr>
                <w:rFonts w:cs="Arial"/>
                <w:sz w:val="20"/>
                <w:szCs w:val="20"/>
              </w:rPr>
              <w:t>0.27**</w:t>
            </w:r>
          </w:p>
        </w:tc>
      </w:tr>
    </w:tbl>
    <w:p w:rsidR="007124F0" w:rsidRPr="0063742F" w:rsidRDefault="007124F0" w:rsidP="007124F0">
      <w:pPr>
        <w:jc w:val="both"/>
        <w:rPr>
          <w:sz w:val="18"/>
          <w:szCs w:val="18"/>
        </w:rPr>
      </w:pPr>
      <w:r w:rsidRPr="0063742F">
        <w:rPr>
          <w:sz w:val="18"/>
          <w:szCs w:val="18"/>
        </w:rPr>
        <w:t xml:space="preserve">Note: ***, ** and * indicate statistical significance at the 1%, 5% and 10% (two-tail) test levels, respectively. </w:t>
      </w:r>
    </w:p>
    <w:p w:rsidR="007124F0" w:rsidRPr="00B25705" w:rsidRDefault="007124F0" w:rsidP="007124F0">
      <w:pPr>
        <w:jc w:val="both"/>
        <w:rPr>
          <w:sz w:val="22"/>
          <w:szCs w:val="22"/>
        </w:rPr>
      </w:pPr>
    </w:p>
    <w:p w:rsidR="007124F0" w:rsidRPr="00B25705" w:rsidRDefault="007124F0" w:rsidP="007124F0">
      <w:pPr>
        <w:jc w:val="both"/>
        <w:rPr>
          <w:sz w:val="22"/>
          <w:szCs w:val="22"/>
        </w:rPr>
      </w:pPr>
    </w:p>
    <w:p w:rsidR="007124F0" w:rsidRPr="00B25705" w:rsidRDefault="007124F0" w:rsidP="007124F0">
      <w:pPr>
        <w:jc w:val="both"/>
        <w:rPr>
          <w:sz w:val="22"/>
          <w:szCs w:val="22"/>
        </w:rPr>
      </w:pPr>
    </w:p>
    <w:p w:rsidR="007124F0" w:rsidRPr="00B25705" w:rsidRDefault="007124F0" w:rsidP="007124F0">
      <w:pPr>
        <w:spacing w:line="480" w:lineRule="auto"/>
      </w:pPr>
    </w:p>
    <w:p w:rsidR="007124F0" w:rsidRDefault="007124F0" w:rsidP="007124F0">
      <w:pPr>
        <w:spacing w:line="480" w:lineRule="auto"/>
      </w:pPr>
    </w:p>
    <w:p w:rsidR="007124F0" w:rsidRPr="00782D51" w:rsidRDefault="007124F0" w:rsidP="007124F0">
      <w:r>
        <w:br w:type="page"/>
      </w:r>
      <w:r w:rsidRPr="00782D51">
        <w:lastRenderedPageBreak/>
        <w:t>T</w:t>
      </w:r>
      <w:r>
        <w:t>able 5</w:t>
      </w:r>
      <w:r w:rsidRPr="00782D51">
        <w:t xml:space="preserve"> – Sample Descriptive Statistics</w:t>
      </w:r>
    </w:p>
    <w:p w:rsidR="007124F0" w:rsidRPr="00782D51" w:rsidRDefault="007124F0" w:rsidP="007124F0"/>
    <w:p w:rsidR="007124F0" w:rsidRDefault="007124F0" w:rsidP="007124F0">
      <w:pPr>
        <w:jc w:val="both"/>
        <w:rPr>
          <w:rFonts w:cs="dcr10"/>
          <w:sz w:val="22"/>
          <w:szCs w:val="22"/>
        </w:rPr>
      </w:pPr>
      <w:r w:rsidRPr="00782D51">
        <w:rPr>
          <w:sz w:val="22"/>
          <w:szCs w:val="22"/>
        </w:rPr>
        <w:t xml:space="preserve">This table reports summary statistics for the main variables used in the paper’s empirical estimations. All firm level data are from SNL Datasource over the sample period 1991-2007. The exceptions are the mortgage and secured lines of credit data, which are available in SNL Datasource from 2001. The sample includes residential, retail, office, and industrial REITs. </w:t>
      </w:r>
      <w:r>
        <w:rPr>
          <w:rFonts w:cs="dcr10"/>
          <w:i/>
          <w:sz w:val="22"/>
          <w:szCs w:val="22"/>
        </w:rPr>
        <w:t>q</w:t>
      </w:r>
      <w:r w:rsidRPr="00782D51">
        <w:rPr>
          <w:rFonts w:cs="dcr10"/>
          <w:sz w:val="22"/>
          <w:szCs w:val="22"/>
        </w:rPr>
        <w:t xml:space="preserve"> is the ratio of market value of total assets (or SNL item #220 – item #3799 + item#6111</w:t>
      </w:r>
      <w:r w:rsidRPr="00782D51">
        <w:rPr>
          <w:rFonts w:cs="Arial"/>
          <w:sz w:val="22"/>
          <w:szCs w:val="22"/>
        </w:rPr>
        <w:sym w:font="Symbol" w:char="F0B4"/>
      </w:r>
      <w:r w:rsidRPr="00782D51">
        <w:rPr>
          <w:rFonts w:cs="dcr10"/>
          <w:sz w:val="22"/>
          <w:szCs w:val="22"/>
        </w:rPr>
        <w:t xml:space="preserve">1000) to book value of total assets (or SNL item #220). </w:t>
      </w:r>
      <w:r>
        <w:rPr>
          <w:rFonts w:cs="dcr10"/>
          <w:sz w:val="22"/>
          <w:szCs w:val="22"/>
        </w:rPr>
        <w:t xml:space="preserve">See Table 1 for definitions of </w:t>
      </w:r>
      <w:r w:rsidRPr="00782D51">
        <w:rPr>
          <w:rFonts w:cs="dcr10"/>
          <w:i/>
          <w:sz w:val="22"/>
          <w:szCs w:val="22"/>
        </w:rPr>
        <w:t>SecuredMarketLeverage</w:t>
      </w:r>
      <w:r>
        <w:rPr>
          <w:rFonts w:cs="dcr10"/>
          <w:sz w:val="22"/>
          <w:szCs w:val="22"/>
        </w:rPr>
        <w:t xml:space="preserve">, </w:t>
      </w:r>
      <w:r w:rsidRPr="00782D51">
        <w:rPr>
          <w:rFonts w:cs="dcr10"/>
          <w:i/>
          <w:sz w:val="22"/>
          <w:szCs w:val="22"/>
        </w:rPr>
        <w:t>SecuredBookLeverage</w:t>
      </w:r>
      <w:r>
        <w:rPr>
          <w:rFonts w:cs="dcr10"/>
          <w:sz w:val="22"/>
          <w:szCs w:val="22"/>
        </w:rPr>
        <w:t xml:space="preserve">, </w:t>
      </w:r>
      <w:r w:rsidRPr="00782D51">
        <w:rPr>
          <w:rFonts w:cs="dcr10"/>
          <w:i/>
          <w:sz w:val="22"/>
          <w:szCs w:val="22"/>
        </w:rPr>
        <w:t>SecuredDebt</w:t>
      </w:r>
      <w:r>
        <w:rPr>
          <w:rFonts w:cs="dcr10"/>
          <w:sz w:val="22"/>
          <w:szCs w:val="22"/>
        </w:rPr>
        <w:t xml:space="preserve">, </w:t>
      </w:r>
      <w:r w:rsidRPr="00782D51">
        <w:rPr>
          <w:rFonts w:cs="dcr10"/>
          <w:i/>
          <w:sz w:val="22"/>
          <w:szCs w:val="22"/>
        </w:rPr>
        <w:t>MarketLeverage</w:t>
      </w:r>
      <w:r>
        <w:rPr>
          <w:rFonts w:cs="dcr10"/>
          <w:sz w:val="22"/>
          <w:szCs w:val="22"/>
        </w:rPr>
        <w:t>, and</w:t>
      </w:r>
      <w:r w:rsidRPr="00782D51">
        <w:rPr>
          <w:rFonts w:cs="dcr10"/>
          <w:sz w:val="22"/>
          <w:szCs w:val="22"/>
        </w:rPr>
        <w:t xml:space="preserve"> </w:t>
      </w:r>
      <w:r w:rsidRPr="00782D51">
        <w:rPr>
          <w:rFonts w:cs="dcr10"/>
          <w:i/>
          <w:sz w:val="22"/>
          <w:szCs w:val="22"/>
        </w:rPr>
        <w:t>BookLeverage</w:t>
      </w:r>
      <w:r>
        <w:rPr>
          <w:rFonts w:cs="dcr10"/>
          <w:sz w:val="22"/>
          <w:szCs w:val="22"/>
        </w:rPr>
        <w:t xml:space="preserve">. </w:t>
      </w:r>
      <w:r w:rsidRPr="00782D51">
        <w:rPr>
          <w:rFonts w:cs="dcr10"/>
          <w:i/>
          <w:sz w:val="22"/>
          <w:szCs w:val="22"/>
        </w:rPr>
        <w:t>EarningsChanges</w:t>
      </w:r>
      <w:r w:rsidRPr="00782D51">
        <w:rPr>
          <w:rFonts w:cs="dcr10"/>
          <w:sz w:val="22"/>
          <w:szCs w:val="22"/>
        </w:rPr>
        <w:t xml:space="preserve"> is the ratio of next year earnings minus this year earnings (item #4430 at </w:t>
      </w:r>
      <w:r w:rsidRPr="00782D51">
        <w:rPr>
          <w:rFonts w:cs="dcr10"/>
          <w:i/>
          <w:sz w:val="22"/>
          <w:szCs w:val="22"/>
        </w:rPr>
        <w:t>t+1</w:t>
      </w:r>
      <w:r w:rsidRPr="00782D51">
        <w:rPr>
          <w:rFonts w:cs="dcr10"/>
          <w:sz w:val="22"/>
          <w:szCs w:val="22"/>
        </w:rPr>
        <w:t xml:space="preserve"> – item #4430 at </w:t>
      </w:r>
      <w:r w:rsidRPr="00782D51">
        <w:rPr>
          <w:rFonts w:cs="dcr10"/>
          <w:i/>
          <w:sz w:val="22"/>
          <w:szCs w:val="22"/>
        </w:rPr>
        <w:t>t</w:t>
      </w:r>
      <w:r w:rsidRPr="00782D51">
        <w:rPr>
          <w:rFonts w:cs="dcr10"/>
          <w:sz w:val="22"/>
          <w:szCs w:val="22"/>
        </w:rPr>
        <w:t xml:space="preserve">) to this year common book equity (item #3799). </w:t>
      </w:r>
      <w:r w:rsidRPr="00782D51">
        <w:rPr>
          <w:rFonts w:cs="dcr10"/>
          <w:i/>
          <w:sz w:val="22"/>
          <w:szCs w:val="22"/>
        </w:rPr>
        <w:t>Size</w:t>
      </w:r>
      <w:r w:rsidRPr="00782D51">
        <w:rPr>
          <w:rFonts w:cs="dcr10"/>
          <w:sz w:val="22"/>
          <w:szCs w:val="22"/>
        </w:rPr>
        <w:t xml:space="preserve"> is book value of total assets (measured in billions of 2006 dollars using the Producer Price Index (PPI) published by the U.S. Department of Labor as the deflator). </w:t>
      </w:r>
      <w:r w:rsidRPr="00782D51">
        <w:rPr>
          <w:rFonts w:cs="dcr10"/>
          <w:i/>
          <w:sz w:val="22"/>
          <w:szCs w:val="22"/>
        </w:rPr>
        <w:t>Profitability</w:t>
      </w:r>
      <w:r w:rsidRPr="00782D51">
        <w:rPr>
          <w:rFonts w:cs="dcr10"/>
          <w:sz w:val="22"/>
          <w:szCs w:val="22"/>
        </w:rPr>
        <w:t xml:space="preserve"> is the ratio of earnings before interest, taxes, depreciation, and amortization (SNL item #23504) to the book value of total assets. </w:t>
      </w:r>
      <w:r w:rsidRPr="00782D51">
        <w:rPr>
          <w:rFonts w:cs="dcr10"/>
          <w:i/>
          <w:sz w:val="22"/>
          <w:szCs w:val="22"/>
        </w:rPr>
        <w:t>EarningsVolatility</w:t>
      </w:r>
      <w:r w:rsidRPr="00782D51">
        <w:rPr>
          <w:rFonts w:cs="dcr10"/>
          <w:sz w:val="22"/>
          <w:szCs w:val="22"/>
        </w:rPr>
        <w:t xml:space="preserve"> is the ratio of the standard deviation of earnings before interest, taxes, depreciation and amortization using up to five years of consecutive observations to the average book value of total assets estimated over the same time horizon. </w:t>
      </w:r>
      <w:r w:rsidRPr="00782D51">
        <w:rPr>
          <w:rFonts w:cs="dcr10"/>
          <w:i/>
          <w:sz w:val="22"/>
          <w:szCs w:val="22"/>
        </w:rPr>
        <w:t>Age</w:t>
      </w:r>
      <w:r w:rsidRPr="00782D51">
        <w:rPr>
          <w:rFonts w:cs="dcr10"/>
          <w:sz w:val="22"/>
          <w:szCs w:val="22"/>
        </w:rPr>
        <w:t xml:space="preserve"> is the number of years since the IPO year</w:t>
      </w:r>
      <w:r>
        <w:rPr>
          <w:rFonts w:cs="dcr10"/>
          <w:sz w:val="22"/>
          <w:szCs w:val="22"/>
        </w:rPr>
        <w:t xml:space="preserve"> until the end of the sample period in 2007</w:t>
      </w:r>
      <w:r w:rsidRPr="00782D51">
        <w:rPr>
          <w:rFonts w:cs="dcr10"/>
          <w:sz w:val="22"/>
          <w:szCs w:val="22"/>
        </w:rPr>
        <w:t>.</w:t>
      </w:r>
    </w:p>
    <w:p w:rsidR="007124F0" w:rsidRPr="00782D51" w:rsidRDefault="007124F0" w:rsidP="007124F0">
      <w:pPr>
        <w:jc w:val="both"/>
        <w:rPr>
          <w:sz w:val="22"/>
          <w:szCs w:val="22"/>
        </w:rPr>
      </w:pPr>
    </w:p>
    <w:p w:rsidR="007124F0" w:rsidRPr="00782D51" w:rsidRDefault="007124F0" w:rsidP="007124F0">
      <w:pPr>
        <w:jc w:val="both"/>
      </w:pPr>
    </w:p>
    <w:tbl>
      <w:tblPr>
        <w:tblW w:w="9443" w:type="dxa"/>
        <w:tblLook w:val="0000"/>
      </w:tblPr>
      <w:tblGrid>
        <w:gridCol w:w="2303"/>
        <w:gridCol w:w="1272"/>
        <w:gridCol w:w="1172"/>
        <w:gridCol w:w="1272"/>
        <w:gridCol w:w="1172"/>
        <w:gridCol w:w="1272"/>
        <w:gridCol w:w="980"/>
      </w:tblGrid>
      <w:tr w:rsidR="007124F0" w:rsidRPr="00782D51" w:rsidTr="007124F0">
        <w:trPr>
          <w:trHeight w:val="264"/>
        </w:trPr>
        <w:tc>
          <w:tcPr>
            <w:tcW w:w="2303" w:type="dxa"/>
            <w:tcBorders>
              <w:top w:val="double" w:sz="4" w:space="0" w:color="auto"/>
            </w:tcBorders>
            <w:noWrap/>
            <w:vAlign w:val="bottom"/>
          </w:tcPr>
          <w:p w:rsidR="007124F0" w:rsidRPr="00782D51" w:rsidRDefault="007124F0" w:rsidP="007124F0">
            <w:pPr>
              <w:rPr>
                <w:rFonts w:cs="Arial"/>
                <w:sz w:val="20"/>
                <w:szCs w:val="20"/>
              </w:rPr>
            </w:pPr>
          </w:p>
          <w:p w:rsidR="007124F0" w:rsidRPr="00782D51" w:rsidRDefault="007124F0" w:rsidP="007124F0">
            <w:pPr>
              <w:rPr>
                <w:rFonts w:cs="Arial"/>
                <w:sz w:val="20"/>
                <w:szCs w:val="20"/>
              </w:rPr>
            </w:pPr>
            <w:r w:rsidRPr="00782D51">
              <w:rPr>
                <w:rFonts w:cs="Arial"/>
                <w:sz w:val="20"/>
                <w:szCs w:val="20"/>
              </w:rPr>
              <w:t>Variable</w:t>
            </w:r>
          </w:p>
        </w:tc>
        <w:tc>
          <w:tcPr>
            <w:tcW w:w="1272" w:type="dxa"/>
            <w:tcBorders>
              <w:top w:val="double" w:sz="4" w:space="0" w:color="auto"/>
            </w:tcBorders>
            <w:noWrap/>
            <w:vAlign w:val="bottom"/>
          </w:tcPr>
          <w:p w:rsidR="007124F0" w:rsidRPr="00782D51" w:rsidRDefault="007124F0" w:rsidP="007124F0">
            <w:pPr>
              <w:rPr>
                <w:rFonts w:cs="Arial"/>
                <w:sz w:val="20"/>
                <w:szCs w:val="20"/>
              </w:rPr>
            </w:pPr>
          </w:p>
        </w:tc>
        <w:tc>
          <w:tcPr>
            <w:tcW w:w="1172" w:type="dxa"/>
            <w:tcBorders>
              <w:top w:val="double" w:sz="4" w:space="0" w:color="auto"/>
            </w:tcBorders>
            <w:noWrap/>
            <w:vAlign w:val="bottom"/>
          </w:tcPr>
          <w:p w:rsidR="007124F0" w:rsidRPr="00782D51" w:rsidRDefault="007124F0" w:rsidP="007124F0">
            <w:pPr>
              <w:rPr>
                <w:rFonts w:cs="Arial"/>
                <w:sz w:val="20"/>
                <w:szCs w:val="20"/>
              </w:rPr>
            </w:pPr>
          </w:p>
        </w:tc>
        <w:tc>
          <w:tcPr>
            <w:tcW w:w="2444" w:type="dxa"/>
            <w:gridSpan w:val="2"/>
            <w:tcBorders>
              <w:top w:val="double" w:sz="4" w:space="0" w:color="auto"/>
            </w:tcBorders>
            <w:noWrap/>
            <w:vAlign w:val="bottom"/>
          </w:tcPr>
          <w:p w:rsidR="007124F0" w:rsidRPr="00782D51" w:rsidRDefault="007124F0" w:rsidP="007124F0">
            <w:pPr>
              <w:rPr>
                <w:rFonts w:cs="Arial"/>
                <w:sz w:val="20"/>
                <w:szCs w:val="20"/>
              </w:rPr>
            </w:pPr>
            <w:r w:rsidRPr="00782D51">
              <w:rPr>
                <w:rFonts w:cs="Arial"/>
                <w:sz w:val="20"/>
                <w:szCs w:val="20"/>
              </w:rPr>
              <w:t>Sample Statistics</w:t>
            </w:r>
          </w:p>
        </w:tc>
        <w:tc>
          <w:tcPr>
            <w:tcW w:w="1272" w:type="dxa"/>
            <w:tcBorders>
              <w:top w:val="double" w:sz="4" w:space="0" w:color="auto"/>
            </w:tcBorders>
            <w:noWrap/>
            <w:vAlign w:val="bottom"/>
          </w:tcPr>
          <w:p w:rsidR="007124F0" w:rsidRPr="00782D51" w:rsidRDefault="007124F0" w:rsidP="007124F0">
            <w:pPr>
              <w:rPr>
                <w:rFonts w:cs="Arial"/>
                <w:sz w:val="20"/>
                <w:szCs w:val="20"/>
              </w:rPr>
            </w:pPr>
          </w:p>
        </w:tc>
        <w:tc>
          <w:tcPr>
            <w:tcW w:w="980" w:type="dxa"/>
            <w:tcBorders>
              <w:top w:val="double" w:sz="4" w:space="0" w:color="auto"/>
            </w:tcBorders>
            <w:noWrap/>
            <w:vAlign w:val="bottom"/>
          </w:tcPr>
          <w:p w:rsidR="007124F0" w:rsidRPr="00782D51" w:rsidRDefault="007124F0" w:rsidP="007124F0">
            <w:pPr>
              <w:rPr>
                <w:rFonts w:cs="Arial"/>
                <w:sz w:val="20"/>
                <w:szCs w:val="20"/>
              </w:rPr>
            </w:pPr>
          </w:p>
        </w:tc>
      </w:tr>
      <w:tr w:rsidR="007124F0" w:rsidRPr="00782D51" w:rsidTr="007124F0">
        <w:trPr>
          <w:trHeight w:val="264"/>
        </w:trPr>
        <w:tc>
          <w:tcPr>
            <w:tcW w:w="2303" w:type="dxa"/>
            <w:tcBorders>
              <w:bottom w:val="single" w:sz="4" w:space="0" w:color="auto"/>
            </w:tcBorders>
            <w:noWrap/>
            <w:vAlign w:val="bottom"/>
          </w:tcPr>
          <w:p w:rsidR="007124F0" w:rsidRPr="00782D51" w:rsidRDefault="007124F0" w:rsidP="007124F0">
            <w:pPr>
              <w:jc w:val="center"/>
              <w:rPr>
                <w:rFonts w:cs="Arial"/>
                <w:sz w:val="20"/>
                <w:szCs w:val="20"/>
              </w:rPr>
            </w:pPr>
          </w:p>
        </w:tc>
        <w:tc>
          <w:tcPr>
            <w:tcW w:w="1272"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Mean</w:t>
            </w:r>
          </w:p>
        </w:tc>
        <w:tc>
          <w:tcPr>
            <w:tcW w:w="1172"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Median</w:t>
            </w:r>
          </w:p>
        </w:tc>
        <w:tc>
          <w:tcPr>
            <w:tcW w:w="1272"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St. Dev.</w:t>
            </w:r>
          </w:p>
        </w:tc>
        <w:tc>
          <w:tcPr>
            <w:tcW w:w="1172"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25th Pct.</w:t>
            </w:r>
          </w:p>
        </w:tc>
        <w:tc>
          <w:tcPr>
            <w:tcW w:w="1272"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75th Pct.</w:t>
            </w:r>
          </w:p>
        </w:tc>
        <w:tc>
          <w:tcPr>
            <w:tcW w:w="980"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Obs.</w:t>
            </w:r>
          </w:p>
        </w:tc>
      </w:tr>
      <w:tr w:rsidR="007124F0" w:rsidRPr="00782D51" w:rsidTr="007124F0">
        <w:trPr>
          <w:trHeight w:val="264"/>
        </w:trPr>
        <w:tc>
          <w:tcPr>
            <w:tcW w:w="2303" w:type="dxa"/>
            <w:tcBorders>
              <w:top w:val="single" w:sz="4" w:space="0" w:color="auto"/>
            </w:tcBorders>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Pr>
                <w:rFonts w:cs="Arial"/>
                <w:i/>
                <w:sz w:val="20"/>
                <w:szCs w:val="20"/>
              </w:rPr>
              <w:t>q</w:t>
            </w:r>
          </w:p>
        </w:tc>
        <w:tc>
          <w:tcPr>
            <w:tcW w:w="1272" w:type="dxa"/>
            <w:tcBorders>
              <w:top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1.236</w:t>
            </w:r>
          </w:p>
        </w:tc>
        <w:tc>
          <w:tcPr>
            <w:tcW w:w="1172" w:type="dxa"/>
            <w:tcBorders>
              <w:top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1.203</w:t>
            </w:r>
          </w:p>
        </w:tc>
        <w:tc>
          <w:tcPr>
            <w:tcW w:w="1272" w:type="dxa"/>
            <w:tcBorders>
              <w:top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0.279</w:t>
            </w:r>
          </w:p>
        </w:tc>
        <w:tc>
          <w:tcPr>
            <w:tcW w:w="1172" w:type="dxa"/>
            <w:tcBorders>
              <w:top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1.078</w:t>
            </w:r>
          </w:p>
        </w:tc>
        <w:tc>
          <w:tcPr>
            <w:tcW w:w="1272" w:type="dxa"/>
            <w:tcBorders>
              <w:top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1.366</w:t>
            </w:r>
          </w:p>
        </w:tc>
        <w:tc>
          <w:tcPr>
            <w:tcW w:w="980" w:type="dxa"/>
            <w:tcBorders>
              <w:top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1,298</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SecuredMarketLeverage</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0.337</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0.322</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0.214</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0.153</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0.508</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1,288</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SecuredBookLeverage</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0.407</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0.393</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0.254</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0.203</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0.602</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1,376</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SecuredDebt</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0.643</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0.758</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0.307</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0.383</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0.921</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1,376</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MarketLeverage</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0.493</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0.498</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0.167</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0.390</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0.602</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1,298</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BookLeverage</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0.595</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0.598</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0.205</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0.489</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0.721</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1,388</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EarningsChange</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0.010</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0.004</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0.049</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-0.004</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0.019</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1,390</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 xml:space="preserve">Size </w:t>
            </w:r>
            <w:r w:rsidRPr="00782D51">
              <w:rPr>
                <w:rFonts w:cs="Arial"/>
                <w:sz w:val="20"/>
                <w:szCs w:val="20"/>
              </w:rPr>
              <w:t>($ Billion)</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2.047</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0.966</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3.313</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0.358</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2.426</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1,390</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Profitability</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0.088</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0.090</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0.036</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0.075</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0.106</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1,388</w:t>
            </w:r>
          </w:p>
        </w:tc>
      </w:tr>
      <w:tr w:rsidR="007124F0" w:rsidRPr="00782D51" w:rsidTr="007124F0">
        <w:trPr>
          <w:trHeight w:val="264"/>
        </w:trPr>
        <w:tc>
          <w:tcPr>
            <w:tcW w:w="2303" w:type="dxa"/>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EarningsVolatility</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0.027</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0.021</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0.025</w:t>
            </w:r>
          </w:p>
        </w:tc>
        <w:tc>
          <w:tcPr>
            <w:tcW w:w="1172" w:type="dxa"/>
            <w:noWrap/>
            <w:vAlign w:val="bottom"/>
          </w:tcPr>
          <w:p w:rsidR="007124F0" w:rsidRPr="00782D51" w:rsidRDefault="007124F0" w:rsidP="007124F0">
            <w:pPr>
              <w:jc w:val="center"/>
              <w:rPr>
                <w:rFonts w:cs="Arial"/>
                <w:sz w:val="20"/>
                <w:szCs w:val="20"/>
              </w:rPr>
            </w:pPr>
            <w:r w:rsidRPr="00782D51">
              <w:rPr>
                <w:rFonts w:cs="Arial"/>
                <w:sz w:val="20"/>
                <w:szCs w:val="20"/>
              </w:rPr>
              <w:t>0.012</w:t>
            </w:r>
          </w:p>
        </w:tc>
        <w:tc>
          <w:tcPr>
            <w:tcW w:w="1272" w:type="dxa"/>
            <w:noWrap/>
            <w:vAlign w:val="bottom"/>
          </w:tcPr>
          <w:p w:rsidR="007124F0" w:rsidRPr="00782D51" w:rsidRDefault="007124F0" w:rsidP="007124F0">
            <w:pPr>
              <w:jc w:val="center"/>
              <w:rPr>
                <w:rFonts w:cs="Arial"/>
                <w:sz w:val="20"/>
                <w:szCs w:val="20"/>
              </w:rPr>
            </w:pPr>
            <w:r w:rsidRPr="00782D51">
              <w:rPr>
                <w:rFonts w:cs="Arial"/>
                <w:sz w:val="20"/>
                <w:szCs w:val="20"/>
              </w:rPr>
              <w:t>0.036</w:t>
            </w:r>
          </w:p>
        </w:tc>
        <w:tc>
          <w:tcPr>
            <w:tcW w:w="980" w:type="dxa"/>
            <w:noWrap/>
            <w:vAlign w:val="bottom"/>
          </w:tcPr>
          <w:p w:rsidR="007124F0" w:rsidRPr="00782D51" w:rsidRDefault="007124F0" w:rsidP="007124F0">
            <w:pPr>
              <w:jc w:val="center"/>
              <w:rPr>
                <w:rFonts w:cs="Arial"/>
                <w:sz w:val="20"/>
                <w:szCs w:val="20"/>
              </w:rPr>
            </w:pPr>
            <w:r w:rsidRPr="00782D51">
              <w:rPr>
                <w:rFonts w:cs="Arial"/>
                <w:sz w:val="20"/>
                <w:szCs w:val="20"/>
              </w:rPr>
              <w:t>1,388</w:t>
            </w:r>
          </w:p>
        </w:tc>
      </w:tr>
      <w:tr w:rsidR="007124F0" w:rsidRPr="00782D51" w:rsidTr="007124F0">
        <w:trPr>
          <w:trHeight w:val="264"/>
        </w:trPr>
        <w:tc>
          <w:tcPr>
            <w:tcW w:w="2303" w:type="dxa"/>
            <w:tcBorders>
              <w:bottom w:val="double" w:sz="4" w:space="0" w:color="auto"/>
            </w:tcBorders>
            <w:noWrap/>
            <w:vAlign w:val="bottom"/>
          </w:tcPr>
          <w:p w:rsidR="007124F0" w:rsidRPr="00782D51" w:rsidRDefault="007124F0" w:rsidP="007124F0">
            <w:pPr>
              <w:rPr>
                <w:rFonts w:cs="Arial"/>
                <w:i/>
                <w:sz w:val="20"/>
                <w:szCs w:val="20"/>
              </w:rPr>
            </w:pPr>
          </w:p>
          <w:p w:rsidR="007124F0" w:rsidRPr="00782D51" w:rsidRDefault="007124F0" w:rsidP="007124F0">
            <w:pPr>
              <w:rPr>
                <w:rFonts w:cs="Arial"/>
                <w:i/>
                <w:sz w:val="20"/>
                <w:szCs w:val="20"/>
              </w:rPr>
            </w:pPr>
            <w:r w:rsidRPr="00782D51">
              <w:rPr>
                <w:rFonts w:cs="Arial"/>
                <w:i/>
                <w:sz w:val="20"/>
                <w:szCs w:val="20"/>
              </w:rPr>
              <w:t xml:space="preserve">Age </w:t>
            </w:r>
            <w:r w:rsidRPr="00782D51">
              <w:rPr>
                <w:rFonts w:cs="Arial"/>
                <w:sz w:val="20"/>
                <w:szCs w:val="20"/>
              </w:rPr>
              <w:t>(Yr.)</w:t>
            </w:r>
          </w:p>
        </w:tc>
        <w:tc>
          <w:tcPr>
            <w:tcW w:w="1272" w:type="dxa"/>
            <w:tcBorders>
              <w:bottom w:val="doub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10.991</w:t>
            </w:r>
          </w:p>
        </w:tc>
        <w:tc>
          <w:tcPr>
            <w:tcW w:w="1172" w:type="dxa"/>
            <w:tcBorders>
              <w:bottom w:val="doub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8.012</w:t>
            </w:r>
          </w:p>
        </w:tc>
        <w:tc>
          <w:tcPr>
            <w:tcW w:w="1272" w:type="dxa"/>
            <w:tcBorders>
              <w:bottom w:val="doub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9.775</w:t>
            </w:r>
          </w:p>
        </w:tc>
        <w:tc>
          <w:tcPr>
            <w:tcW w:w="1172" w:type="dxa"/>
            <w:tcBorders>
              <w:bottom w:val="doub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4.395</w:t>
            </w:r>
          </w:p>
        </w:tc>
        <w:tc>
          <w:tcPr>
            <w:tcW w:w="1272" w:type="dxa"/>
            <w:tcBorders>
              <w:bottom w:val="doub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13.014</w:t>
            </w:r>
          </w:p>
        </w:tc>
        <w:tc>
          <w:tcPr>
            <w:tcW w:w="980" w:type="dxa"/>
            <w:tcBorders>
              <w:bottom w:val="doub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1,226</w:t>
            </w:r>
          </w:p>
        </w:tc>
      </w:tr>
    </w:tbl>
    <w:p w:rsidR="007124F0" w:rsidRPr="00782D51" w:rsidRDefault="007124F0" w:rsidP="007124F0">
      <w:pPr>
        <w:jc w:val="both"/>
      </w:pPr>
    </w:p>
    <w:p w:rsidR="007124F0" w:rsidRPr="00782D51" w:rsidRDefault="007124F0" w:rsidP="007124F0">
      <w:r>
        <w:br w:type="page"/>
      </w:r>
      <w:r w:rsidRPr="00782D51">
        <w:lastRenderedPageBreak/>
        <w:t>T</w:t>
      </w:r>
      <w:r>
        <w:t>able 6</w:t>
      </w:r>
      <w:r w:rsidRPr="00782D51">
        <w:t xml:space="preserve"> – Correlation between </w:t>
      </w:r>
      <w:r>
        <w:rPr>
          <w:i/>
        </w:rPr>
        <w:t>q</w:t>
      </w:r>
      <w:r w:rsidRPr="00782D51">
        <w:t xml:space="preserve">, Secured Leverage, and </w:t>
      </w:r>
      <w:r>
        <w:t>Total Leverage</w:t>
      </w:r>
    </w:p>
    <w:p w:rsidR="007124F0" w:rsidRPr="00782D51" w:rsidRDefault="007124F0" w:rsidP="007124F0"/>
    <w:p w:rsidR="007124F0" w:rsidRPr="00782D51" w:rsidRDefault="007124F0" w:rsidP="007124F0">
      <w:pPr>
        <w:jc w:val="both"/>
        <w:rPr>
          <w:sz w:val="22"/>
          <w:szCs w:val="22"/>
        </w:rPr>
      </w:pPr>
      <w:r w:rsidRPr="00782D51">
        <w:rPr>
          <w:sz w:val="22"/>
          <w:szCs w:val="22"/>
        </w:rPr>
        <w:t xml:space="preserve">This table reports pair-wise correlation coefficients between </w:t>
      </w:r>
      <w:r>
        <w:rPr>
          <w:i/>
          <w:sz w:val="22"/>
          <w:szCs w:val="22"/>
        </w:rPr>
        <w:t>q</w:t>
      </w:r>
      <w:r w:rsidRPr="00782D51">
        <w:rPr>
          <w:sz w:val="22"/>
          <w:szCs w:val="22"/>
        </w:rPr>
        <w:t xml:space="preserve">, </w:t>
      </w:r>
      <w:r w:rsidRPr="00782D51">
        <w:rPr>
          <w:i/>
          <w:sz w:val="22"/>
          <w:szCs w:val="22"/>
        </w:rPr>
        <w:t>SecuredMarketLeverage, SecuredBookLeverage, SecuredDebt, MarketLeverage</w:t>
      </w:r>
      <w:r w:rsidRPr="00782D51">
        <w:rPr>
          <w:sz w:val="22"/>
          <w:szCs w:val="22"/>
        </w:rPr>
        <w:t xml:space="preserve">, and </w:t>
      </w:r>
      <w:r w:rsidRPr="00782D51">
        <w:rPr>
          <w:i/>
          <w:sz w:val="22"/>
          <w:szCs w:val="22"/>
        </w:rPr>
        <w:t>BookLeverage</w:t>
      </w:r>
      <w:r w:rsidRPr="00782D51">
        <w:rPr>
          <w:sz w:val="22"/>
          <w:szCs w:val="22"/>
        </w:rPr>
        <w:t xml:space="preserve">. All firm level data are from SNL Datasource over the sample period 1991-2007. Refer to Table 1 for detailed variable definitions. The sample includes residential, retail, office, and industrial REITs. </w:t>
      </w:r>
    </w:p>
    <w:p w:rsidR="007124F0" w:rsidRPr="00782D51" w:rsidRDefault="007124F0" w:rsidP="007124F0">
      <w:pPr>
        <w:jc w:val="both"/>
        <w:rPr>
          <w:sz w:val="22"/>
          <w:szCs w:val="22"/>
        </w:rPr>
      </w:pPr>
    </w:p>
    <w:tbl>
      <w:tblPr>
        <w:tblW w:w="9787" w:type="dxa"/>
        <w:tblLook w:val="0000"/>
      </w:tblPr>
      <w:tblGrid>
        <w:gridCol w:w="2269"/>
        <w:gridCol w:w="1197"/>
        <w:gridCol w:w="1702"/>
        <w:gridCol w:w="1487"/>
        <w:gridCol w:w="1057"/>
        <w:gridCol w:w="1084"/>
        <w:gridCol w:w="1035"/>
      </w:tblGrid>
      <w:tr w:rsidR="007124F0" w:rsidRPr="00782D51" w:rsidTr="007124F0">
        <w:trPr>
          <w:trHeight w:val="264"/>
        </w:trPr>
        <w:tc>
          <w:tcPr>
            <w:tcW w:w="2269" w:type="dxa"/>
            <w:tcBorders>
              <w:top w:val="double" w:sz="4" w:space="0" w:color="auto"/>
              <w:bottom w:val="single" w:sz="4" w:space="0" w:color="auto"/>
            </w:tcBorders>
            <w:noWrap/>
          </w:tcPr>
          <w:p w:rsidR="007124F0" w:rsidRPr="00782D51" w:rsidRDefault="007124F0" w:rsidP="007124F0">
            <w:pPr>
              <w:jc w:val="center"/>
              <w:rPr>
                <w:rFonts w:cs="Arial"/>
                <w:sz w:val="22"/>
                <w:szCs w:val="22"/>
              </w:rPr>
            </w:pPr>
          </w:p>
        </w:tc>
        <w:tc>
          <w:tcPr>
            <w:tcW w:w="1197" w:type="dxa"/>
            <w:tcBorders>
              <w:top w:val="double" w:sz="4" w:space="0" w:color="auto"/>
              <w:bottom w:val="single" w:sz="4" w:space="0" w:color="auto"/>
            </w:tcBorders>
            <w:noWrap/>
          </w:tcPr>
          <w:p w:rsidR="007124F0" w:rsidRPr="00782D51" w:rsidRDefault="007124F0" w:rsidP="007124F0">
            <w:pPr>
              <w:jc w:val="center"/>
              <w:rPr>
                <w:rFonts w:cs="Arial"/>
                <w:i/>
                <w:sz w:val="22"/>
                <w:szCs w:val="22"/>
              </w:rPr>
            </w:pPr>
          </w:p>
          <w:p w:rsidR="007124F0" w:rsidRPr="00782D51" w:rsidRDefault="007124F0" w:rsidP="007124F0">
            <w:pPr>
              <w:jc w:val="center"/>
              <w:rPr>
                <w:rFonts w:cs="Arial"/>
                <w:i/>
                <w:sz w:val="22"/>
                <w:szCs w:val="22"/>
              </w:rPr>
            </w:pPr>
            <w:r>
              <w:rPr>
                <w:rFonts w:cs="Arial"/>
                <w:i/>
                <w:sz w:val="22"/>
                <w:szCs w:val="22"/>
              </w:rPr>
              <w:t>q</w:t>
            </w:r>
          </w:p>
        </w:tc>
        <w:tc>
          <w:tcPr>
            <w:tcW w:w="1702" w:type="dxa"/>
            <w:tcBorders>
              <w:top w:val="double" w:sz="4" w:space="0" w:color="auto"/>
              <w:bottom w:val="single" w:sz="4" w:space="0" w:color="auto"/>
            </w:tcBorders>
            <w:noWrap/>
          </w:tcPr>
          <w:p w:rsidR="007124F0" w:rsidRPr="00782D51" w:rsidRDefault="007124F0" w:rsidP="007124F0">
            <w:pPr>
              <w:jc w:val="center"/>
              <w:rPr>
                <w:rFonts w:cs="Arial"/>
                <w:i/>
                <w:sz w:val="22"/>
                <w:szCs w:val="22"/>
              </w:rPr>
            </w:pPr>
          </w:p>
          <w:p w:rsidR="007124F0" w:rsidRPr="00782D51" w:rsidRDefault="007124F0" w:rsidP="007124F0">
            <w:pPr>
              <w:jc w:val="center"/>
              <w:rPr>
                <w:rFonts w:cs="Arial"/>
                <w:i/>
                <w:sz w:val="22"/>
                <w:szCs w:val="22"/>
              </w:rPr>
            </w:pPr>
            <w:r w:rsidRPr="00782D51">
              <w:rPr>
                <w:rFonts w:cs="Arial"/>
                <w:i/>
                <w:sz w:val="22"/>
                <w:szCs w:val="22"/>
              </w:rPr>
              <w:t>Secured</w:t>
            </w:r>
          </w:p>
          <w:p w:rsidR="007124F0" w:rsidRPr="00782D51" w:rsidRDefault="007124F0" w:rsidP="007124F0">
            <w:pPr>
              <w:jc w:val="center"/>
              <w:rPr>
                <w:rFonts w:cs="Arial"/>
                <w:i/>
                <w:sz w:val="22"/>
                <w:szCs w:val="22"/>
              </w:rPr>
            </w:pPr>
            <w:r w:rsidRPr="00782D51">
              <w:rPr>
                <w:rFonts w:cs="Arial"/>
                <w:i/>
                <w:sz w:val="22"/>
                <w:szCs w:val="22"/>
              </w:rPr>
              <w:t>MarketLevera</w:t>
            </w:r>
            <w:r>
              <w:rPr>
                <w:rFonts w:cs="Arial"/>
                <w:i/>
                <w:sz w:val="22"/>
                <w:szCs w:val="22"/>
              </w:rPr>
              <w:t>g</w:t>
            </w:r>
            <w:r w:rsidRPr="00782D51">
              <w:rPr>
                <w:rFonts w:cs="Arial"/>
                <w:i/>
                <w:sz w:val="22"/>
                <w:szCs w:val="22"/>
              </w:rPr>
              <w:t>e</w:t>
            </w:r>
          </w:p>
        </w:tc>
        <w:tc>
          <w:tcPr>
            <w:tcW w:w="1443" w:type="dxa"/>
            <w:tcBorders>
              <w:top w:val="double" w:sz="4" w:space="0" w:color="auto"/>
              <w:bottom w:val="single" w:sz="4" w:space="0" w:color="auto"/>
            </w:tcBorders>
            <w:noWrap/>
          </w:tcPr>
          <w:p w:rsidR="007124F0" w:rsidRPr="00782D51" w:rsidRDefault="007124F0" w:rsidP="007124F0">
            <w:pPr>
              <w:jc w:val="center"/>
              <w:rPr>
                <w:rFonts w:cs="Arial"/>
                <w:i/>
                <w:sz w:val="22"/>
                <w:szCs w:val="22"/>
              </w:rPr>
            </w:pPr>
          </w:p>
          <w:p w:rsidR="007124F0" w:rsidRPr="00782D51" w:rsidRDefault="007124F0" w:rsidP="007124F0">
            <w:pPr>
              <w:jc w:val="center"/>
              <w:rPr>
                <w:rFonts w:cs="Arial"/>
                <w:i/>
                <w:sz w:val="22"/>
                <w:szCs w:val="22"/>
              </w:rPr>
            </w:pPr>
            <w:r w:rsidRPr="00782D51">
              <w:rPr>
                <w:rFonts w:cs="Arial"/>
                <w:i/>
                <w:sz w:val="22"/>
                <w:szCs w:val="22"/>
              </w:rPr>
              <w:t>Secured</w:t>
            </w:r>
          </w:p>
          <w:p w:rsidR="007124F0" w:rsidRPr="00782D51" w:rsidRDefault="007124F0" w:rsidP="007124F0">
            <w:pPr>
              <w:jc w:val="center"/>
              <w:rPr>
                <w:rFonts w:cs="Arial"/>
                <w:i/>
                <w:sz w:val="22"/>
                <w:szCs w:val="22"/>
              </w:rPr>
            </w:pPr>
            <w:r w:rsidRPr="00782D51">
              <w:rPr>
                <w:rFonts w:cs="Arial"/>
                <w:i/>
                <w:sz w:val="22"/>
                <w:szCs w:val="22"/>
              </w:rPr>
              <w:t>BookLeverage</w:t>
            </w:r>
          </w:p>
        </w:tc>
        <w:tc>
          <w:tcPr>
            <w:tcW w:w="1057" w:type="dxa"/>
            <w:tcBorders>
              <w:top w:val="double" w:sz="4" w:space="0" w:color="auto"/>
              <w:bottom w:val="single" w:sz="4" w:space="0" w:color="auto"/>
            </w:tcBorders>
            <w:noWrap/>
          </w:tcPr>
          <w:p w:rsidR="007124F0" w:rsidRPr="00782D51" w:rsidRDefault="007124F0" w:rsidP="007124F0">
            <w:pPr>
              <w:jc w:val="center"/>
              <w:rPr>
                <w:rFonts w:cs="Arial"/>
                <w:i/>
                <w:sz w:val="22"/>
                <w:szCs w:val="22"/>
              </w:rPr>
            </w:pPr>
          </w:p>
          <w:p w:rsidR="007124F0" w:rsidRPr="00782D51" w:rsidRDefault="007124F0" w:rsidP="007124F0">
            <w:pPr>
              <w:jc w:val="center"/>
              <w:rPr>
                <w:rFonts w:cs="Arial"/>
                <w:i/>
                <w:sz w:val="22"/>
                <w:szCs w:val="22"/>
              </w:rPr>
            </w:pPr>
            <w:r w:rsidRPr="00782D51">
              <w:rPr>
                <w:rFonts w:cs="Arial"/>
                <w:i/>
                <w:sz w:val="22"/>
                <w:szCs w:val="22"/>
              </w:rPr>
              <w:t>Secured</w:t>
            </w:r>
          </w:p>
          <w:p w:rsidR="007124F0" w:rsidRPr="00782D51" w:rsidRDefault="007124F0" w:rsidP="007124F0">
            <w:pPr>
              <w:jc w:val="center"/>
              <w:rPr>
                <w:rFonts w:cs="Arial"/>
                <w:i/>
                <w:sz w:val="22"/>
                <w:szCs w:val="22"/>
              </w:rPr>
            </w:pPr>
            <w:r w:rsidRPr="00782D51">
              <w:rPr>
                <w:rFonts w:cs="Arial"/>
                <w:i/>
                <w:sz w:val="22"/>
                <w:szCs w:val="22"/>
              </w:rPr>
              <w:t>Debt</w:t>
            </w:r>
          </w:p>
        </w:tc>
        <w:tc>
          <w:tcPr>
            <w:tcW w:w="1084" w:type="dxa"/>
            <w:tcBorders>
              <w:top w:val="double" w:sz="4" w:space="0" w:color="auto"/>
              <w:bottom w:val="single" w:sz="4" w:space="0" w:color="auto"/>
            </w:tcBorders>
            <w:noWrap/>
          </w:tcPr>
          <w:p w:rsidR="007124F0" w:rsidRPr="00782D51" w:rsidRDefault="007124F0" w:rsidP="007124F0">
            <w:pPr>
              <w:jc w:val="center"/>
              <w:rPr>
                <w:rFonts w:cs="Arial"/>
                <w:i/>
                <w:sz w:val="22"/>
                <w:szCs w:val="22"/>
              </w:rPr>
            </w:pPr>
          </w:p>
          <w:p w:rsidR="007124F0" w:rsidRPr="00782D51" w:rsidRDefault="007124F0" w:rsidP="007124F0">
            <w:pPr>
              <w:jc w:val="center"/>
              <w:rPr>
                <w:rFonts w:cs="Arial"/>
                <w:i/>
                <w:sz w:val="22"/>
                <w:szCs w:val="22"/>
              </w:rPr>
            </w:pPr>
            <w:r w:rsidRPr="00782D51">
              <w:rPr>
                <w:rFonts w:cs="Arial"/>
                <w:i/>
                <w:sz w:val="22"/>
                <w:szCs w:val="22"/>
              </w:rPr>
              <w:t>Market</w:t>
            </w:r>
          </w:p>
          <w:p w:rsidR="007124F0" w:rsidRPr="00782D51" w:rsidRDefault="007124F0" w:rsidP="007124F0">
            <w:pPr>
              <w:jc w:val="center"/>
              <w:rPr>
                <w:rFonts w:cs="Arial"/>
                <w:i/>
                <w:sz w:val="22"/>
                <w:szCs w:val="22"/>
              </w:rPr>
            </w:pPr>
            <w:r w:rsidRPr="00782D51">
              <w:rPr>
                <w:rFonts w:cs="Arial"/>
                <w:i/>
                <w:sz w:val="22"/>
                <w:szCs w:val="22"/>
              </w:rPr>
              <w:t>Leverage</w:t>
            </w:r>
          </w:p>
        </w:tc>
        <w:tc>
          <w:tcPr>
            <w:tcW w:w="1035" w:type="dxa"/>
            <w:tcBorders>
              <w:top w:val="double" w:sz="4" w:space="0" w:color="auto"/>
              <w:bottom w:val="single" w:sz="4" w:space="0" w:color="auto"/>
            </w:tcBorders>
            <w:noWrap/>
          </w:tcPr>
          <w:p w:rsidR="007124F0" w:rsidRPr="00782D51" w:rsidRDefault="007124F0" w:rsidP="007124F0">
            <w:pPr>
              <w:jc w:val="center"/>
              <w:rPr>
                <w:rFonts w:cs="Arial"/>
                <w:i/>
                <w:sz w:val="22"/>
                <w:szCs w:val="22"/>
              </w:rPr>
            </w:pPr>
          </w:p>
          <w:p w:rsidR="007124F0" w:rsidRPr="00782D51" w:rsidRDefault="007124F0" w:rsidP="007124F0">
            <w:pPr>
              <w:jc w:val="center"/>
              <w:rPr>
                <w:rFonts w:cs="Arial"/>
                <w:i/>
                <w:sz w:val="22"/>
                <w:szCs w:val="22"/>
              </w:rPr>
            </w:pPr>
            <w:r w:rsidRPr="00782D51">
              <w:rPr>
                <w:rFonts w:cs="Arial"/>
                <w:i/>
                <w:sz w:val="22"/>
                <w:szCs w:val="22"/>
              </w:rPr>
              <w:t>Book</w:t>
            </w:r>
          </w:p>
          <w:p w:rsidR="007124F0" w:rsidRPr="00782D51" w:rsidRDefault="007124F0" w:rsidP="007124F0">
            <w:pPr>
              <w:jc w:val="center"/>
              <w:rPr>
                <w:rFonts w:cs="Arial"/>
                <w:i/>
                <w:sz w:val="22"/>
                <w:szCs w:val="22"/>
              </w:rPr>
            </w:pPr>
            <w:r w:rsidRPr="00782D51">
              <w:rPr>
                <w:rFonts w:cs="Arial"/>
                <w:i/>
                <w:sz w:val="22"/>
                <w:szCs w:val="22"/>
              </w:rPr>
              <w:t>Leverage</w:t>
            </w:r>
          </w:p>
        </w:tc>
      </w:tr>
      <w:tr w:rsidR="007124F0" w:rsidRPr="00782D51" w:rsidTr="007124F0">
        <w:trPr>
          <w:trHeight w:val="264"/>
        </w:trPr>
        <w:tc>
          <w:tcPr>
            <w:tcW w:w="2269" w:type="dxa"/>
            <w:tcBorders>
              <w:top w:val="single" w:sz="4" w:space="0" w:color="auto"/>
            </w:tcBorders>
            <w:noWrap/>
            <w:vAlign w:val="bottom"/>
          </w:tcPr>
          <w:p w:rsidR="007124F0" w:rsidRPr="00782D51" w:rsidRDefault="007124F0" w:rsidP="007124F0">
            <w:pPr>
              <w:rPr>
                <w:rFonts w:cs="Arial"/>
                <w:i/>
                <w:sz w:val="22"/>
                <w:szCs w:val="22"/>
              </w:rPr>
            </w:pPr>
            <w:r>
              <w:rPr>
                <w:rFonts w:cs="Arial"/>
                <w:i/>
                <w:sz w:val="22"/>
                <w:szCs w:val="22"/>
              </w:rPr>
              <w:t>q</w:t>
            </w:r>
          </w:p>
        </w:tc>
        <w:tc>
          <w:tcPr>
            <w:tcW w:w="1197" w:type="dxa"/>
            <w:tcBorders>
              <w:top w:val="sing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1</w:t>
            </w:r>
          </w:p>
        </w:tc>
        <w:tc>
          <w:tcPr>
            <w:tcW w:w="1702" w:type="dxa"/>
            <w:tcBorders>
              <w:top w:val="single" w:sz="4" w:space="0" w:color="auto"/>
            </w:tcBorders>
            <w:noWrap/>
            <w:vAlign w:val="bottom"/>
          </w:tcPr>
          <w:p w:rsidR="007124F0" w:rsidRPr="00782D51" w:rsidRDefault="007124F0" w:rsidP="007124F0">
            <w:pPr>
              <w:rPr>
                <w:rFonts w:cs="Arial"/>
                <w:sz w:val="22"/>
                <w:szCs w:val="22"/>
              </w:rPr>
            </w:pPr>
          </w:p>
        </w:tc>
        <w:tc>
          <w:tcPr>
            <w:tcW w:w="1443" w:type="dxa"/>
            <w:tcBorders>
              <w:top w:val="single" w:sz="4" w:space="0" w:color="auto"/>
            </w:tcBorders>
            <w:noWrap/>
            <w:vAlign w:val="bottom"/>
          </w:tcPr>
          <w:p w:rsidR="007124F0" w:rsidRPr="00782D51" w:rsidRDefault="007124F0" w:rsidP="007124F0">
            <w:pPr>
              <w:rPr>
                <w:rFonts w:cs="Arial"/>
                <w:sz w:val="22"/>
                <w:szCs w:val="22"/>
              </w:rPr>
            </w:pPr>
          </w:p>
        </w:tc>
        <w:tc>
          <w:tcPr>
            <w:tcW w:w="1057" w:type="dxa"/>
            <w:tcBorders>
              <w:top w:val="single" w:sz="4" w:space="0" w:color="auto"/>
            </w:tcBorders>
            <w:noWrap/>
            <w:vAlign w:val="bottom"/>
          </w:tcPr>
          <w:p w:rsidR="007124F0" w:rsidRPr="00782D51" w:rsidRDefault="007124F0" w:rsidP="007124F0">
            <w:pPr>
              <w:rPr>
                <w:rFonts w:cs="Arial"/>
                <w:sz w:val="22"/>
                <w:szCs w:val="22"/>
              </w:rPr>
            </w:pPr>
          </w:p>
        </w:tc>
        <w:tc>
          <w:tcPr>
            <w:tcW w:w="1084" w:type="dxa"/>
            <w:tcBorders>
              <w:top w:val="single" w:sz="4" w:space="0" w:color="auto"/>
            </w:tcBorders>
            <w:noWrap/>
            <w:vAlign w:val="bottom"/>
          </w:tcPr>
          <w:p w:rsidR="007124F0" w:rsidRPr="00782D51" w:rsidRDefault="007124F0" w:rsidP="007124F0">
            <w:pPr>
              <w:rPr>
                <w:rFonts w:cs="Arial"/>
                <w:sz w:val="22"/>
                <w:szCs w:val="22"/>
              </w:rPr>
            </w:pPr>
          </w:p>
        </w:tc>
        <w:tc>
          <w:tcPr>
            <w:tcW w:w="1035" w:type="dxa"/>
            <w:tcBorders>
              <w:top w:val="single" w:sz="4" w:space="0" w:color="auto"/>
            </w:tcBorders>
            <w:noWrap/>
            <w:vAlign w:val="bottom"/>
          </w:tcPr>
          <w:p w:rsidR="007124F0" w:rsidRPr="00782D51" w:rsidRDefault="007124F0" w:rsidP="007124F0">
            <w:pPr>
              <w:rPr>
                <w:rFonts w:cs="Arial"/>
                <w:sz w:val="22"/>
                <w:szCs w:val="22"/>
              </w:rPr>
            </w:pPr>
          </w:p>
        </w:tc>
      </w:tr>
      <w:tr w:rsidR="007124F0" w:rsidRPr="00782D51" w:rsidTr="007124F0">
        <w:trPr>
          <w:trHeight w:val="264"/>
        </w:trPr>
        <w:tc>
          <w:tcPr>
            <w:tcW w:w="2269"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SecuredMarketLeverae</w:t>
            </w:r>
          </w:p>
        </w:tc>
        <w:tc>
          <w:tcPr>
            <w:tcW w:w="1197" w:type="dxa"/>
            <w:noWrap/>
            <w:vAlign w:val="bottom"/>
          </w:tcPr>
          <w:p w:rsidR="007124F0" w:rsidRPr="00782D51" w:rsidRDefault="007124F0" w:rsidP="007124F0">
            <w:pPr>
              <w:jc w:val="center"/>
              <w:rPr>
                <w:rFonts w:cs="Arial"/>
                <w:sz w:val="22"/>
                <w:szCs w:val="22"/>
              </w:rPr>
            </w:pPr>
            <w:r w:rsidRPr="00782D51">
              <w:rPr>
                <w:rFonts w:cs="Arial"/>
                <w:sz w:val="22"/>
                <w:szCs w:val="22"/>
              </w:rPr>
              <w:t>-0.321***</w:t>
            </w:r>
          </w:p>
        </w:tc>
        <w:tc>
          <w:tcPr>
            <w:tcW w:w="1702" w:type="dxa"/>
            <w:noWrap/>
            <w:vAlign w:val="bottom"/>
          </w:tcPr>
          <w:p w:rsidR="007124F0" w:rsidRPr="00782D51" w:rsidRDefault="007124F0" w:rsidP="007124F0">
            <w:pPr>
              <w:jc w:val="center"/>
              <w:rPr>
                <w:rFonts w:cs="Arial"/>
                <w:sz w:val="22"/>
                <w:szCs w:val="22"/>
              </w:rPr>
            </w:pPr>
            <w:r w:rsidRPr="00782D51">
              <w:rPr>
                <w:rFonts w:cs="Arial"/>
                <w:sz w:val="22"/>
                <w:szCs w:val="22"/>
              </w:rPr>
              <w:t>1</w:t>
            </w:r>
          </w:p>
        </w:tc>
        <w:tc>
          <w:tcPr>
            <w:tcW w:w="1443" w:type="dxa"/>
            <w:noWrap/>
            <w:vAlign w:val="bottom"/>
          </w:tcPr>
          <w:p w:rsidR="007124F0" w:rsidRPr="00782D51" w:rsidRDefault="007124F0" w:rsidP="007124F0">
            <w:pPr>
              <w:rPr>
                <w:rFonts w:cs="Arial"/>
                <w:sz w:val="22"/>
                <w:szCs w:val="22"/>
              </w:rPr>
            </w:pPr>
          </w:p>
        </w:tc>
        <w:tc>
          <w:tcPr>
            <w:tcW w:w="1057" w:type="dxa"/>
            <w:noWrap/>
            <w:vAlign w:val="bottom"/>
          </w:tcPr>
          <w:p w:rsidR="007124F0" w:rsidRPr="00782D51" w:rsidRDefault="007124F0" w:rsidP="007124F0">
            <w:pPr>
              <w:rPr>
                <w:rFonts w:cs="Arial"/>
                <w:sz w:val="22"/>
                <w:szCs w:val="22"/>
              </w:rPr>
            </w:pPr>
          </w:p>
        </w:tc>
        <w:tc>
          <w:tcPr>
            <w:tcW w:w="1084" w:type="dxa"/>
            <w:noWrap/>
            <w:vAlign w:val="bottom"/>
          </w:tcPr>
          <w:p w:rsidR="007124F0" w:rsidRPr="00782D51" w:rsidRDefault="007124F0" w:rsidP="007124F0">
            <w:pPr>
              <w:rPr>
                <w:rFonts w:cs="Arial"/>
                <w:sz w:val="22"/>
                <w:szCs w:val="22"/>
              </w:rPr>
            </w:pPr>
          </w:p>
        </w:tc>
        <w:tc>
          <w:tcPr>
            <w:tcW w:w="1035" w:type="dxa"/>
            <w:noWrap/>
            <w:vAlign w:val="bottom"/>
          </w:tcPr>
          <w:p w:rsidR="007124F0" w:rsidRPr="00782D51" w:rsidRDefault="007124F0" w:rsidP="007124F0">
            <w:pPr>
              <w:rPr>
                <w:rFonts w:cs="Arial"/>
                <w:sz w:val="22"/>
                <w:szCs w:val="22"/>
              </w:rPr>
            </w:pPr>
          </w:p>
        </w:tc>
      </w:tr>
      <w:tr w:rsidR="007124F0" w:rsidRPr="00782D51" w:rsidTr="007124F0">
        <w:trPr>
          <w:trHeight w:val="264"/>
        </w:trPr>
        <w:tc>
          <w:tcPr>
            <w:tcW w:w="2269"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SecuredBookLeverage</w:t>
            </w:r>
          </w:p>
        </w:tc>
        <w:tc>
          <w:tcPr>
            <w:tcW w:w="1197" w:type="dxa"/>
            <w:noWrap/>
            <w:vAlign w:val="bottom"/>
          </w:tcPr>
          <w:p w:rsidR="007124F0" w:rsidRPr="00782D51" w:rsidRDefault="007124F0" w:rsidP="007124F0">
            <w:pPr>
              <w:jc w:val="center"/>
              <w:rPr>
                <w:rFonts w:cs="Arial"/>
                <w:sz w:val="22"/>
                <w:szCs w:val="22"/>
              </w:rPr>
            </w:pPr>
            <w:r w:rsidRPr="00782D51">
              <w:rPr>
                <w:rFonts w:cs="Arial"/>
                <w:sz w:val="22"/>
                <w:szCs w:val="22"/>
              </w:rPr>
              <w:t>-0.059***</w:t>
            </w:r>
          </w:p>
        </w:tc>
        <w:tc>
          <w:tcPr>
            <w:tcW w:w="1702" w:type="dxa"/>
            <w:noWrap/>
            <w:vAlign w:val="bottom"/>
          </w:tcPr>
          <w:p w:rsidR="007124F0" w:rsidRPr="00782D51" w:rsidRDefault="007124F0" w:rsidP="007124F0">
            <w:pPr>
              <w:jc w:val="center"/>
              <w:rPr>
                <w:rFonts w:cs="Arial"/>
                <w:sz w:val="22"/>
                <w:szCs w:val="22"/>
              </w:rPr>
            </w:pPr>
            <w:r w:rsidRPr="00782D51">
              <w:rPr>
                <w:rFonts w:cs="Arial"/>
                <w:sz w:val="22"/>
                <w:szCs w:val="22"/>
              </w:rPr>
              <w:t>0.938***</w:t>
            </w:r>
          </w:p>
        </w:tc>
        <w:tc>
          <w:tcPr>
            <w:tcW w:w="1443" w:type="dxa"/>
            <w:noWrap/>
            <w:vAlign w:val="bottom"/>
          </w:tcPr>
          <w:p w:rsidR="007124F0" w:rsidRPr="00782D51" w:rsidRDefault="007124F0" w:rsidP="007124F0">
            <w:pPr>
              <w:jc w:val="center"/>
              <w:rPr>
                <w:rFonts w:cs="Arial"/>
                <w:sz w:val="22"/>
                <w:szCs w:val="22"/>
              </w:rPr>
            </w:pPr>
            <w:r w:rsidRPr="00782D51">
              <w:rPr>
                <w:rFonts w:cs="Arial"/>
                <w:sz w:val="22"/>
                <w:szCs w:val="22"/>
              </w:rPr>
              <w:t>1</w:t>
            </w:r>
          </w:p>
        </w:tc>
        <w:tc>
          <w:tcPr>
            <w:tcW w:w="1057" w:type="dxa"/>
            <w:noWrap/>
            <w:vAlign w:val="bottom"/>
          </w:tcPr>
          <w:p w:rsidR="007124F0" w:rsidRPr="00782D51" w:rsidRDefault="007124F0" w:rsidP="007124F0">
            <w:pPr>
              <w:rPr>
                <w:rFonts w:cs="Arial"/>
                <w:sz w:val="22"/>
                <w:szCs w:val="22"/>
              </w:rPr>
            </w:pPr>
          </w:p>
        </w:tc>
        <w:tc>
          <w:tcPr>
            <w:tcW w:w="1084" w:type="dxa"/>
            <w:noWrap/>
            <w:vAlign w:val="bottom"/>
          </w:tcPr>
          <w:p w:rsidR="007124F0" w:rsidRPr="00782D51" w:rsidRDefault="007124F0" w:rsidP="007124F0">
            <w:pPr>
              <w:rPr>
                <w:rFonts w:cs="Arial"/>
                <w:sz w:val="22"/>
                <w:szCs w:val="22"/>
              </w:rPr>
            </w:pPr>
          </w:p>
        </w:tc>
        <w:tc>
          <w:tcPr>
            <w:tcW w:w="1035" w:type="dxa"/>
            <w:noWrap/>
            <w:vAlign w:val="bottom"/>
          </w:tcPr>
          <w:p w:rsidR="007124F0" w:rsidRPr="00782D51" w:rsidRDefault="007124F0" w:rsidP="007124F0">
            <w:pPr>
              <w:rPr>
                <w:rFonts w:cs="Arial"/>
                <w:sz w:val="22"/>
                <w:szCs w:val="22"/>
              </w:rPr>
            </w:pPr>
          </w:p>
        </w:tc>
      </w:tr>
      <w:tr w:rsidR="007124F0" w:rsidRPr="00782D51" w:rsidTr="007124F0">
        <w:trPr>
          <w:trHeight w:val="264"/>
        </w:trPr>
        <w:tc>
          <w:tcPr>
            <w:tcW w:w="2269"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SecuredDebt</w:t>
            </w:r>
          </w:p>
        </w:tc>
        <w:tc>
          <w:tcPr>
            <w:tcW w:w="1197" w:type="dxa"/>
            <w:noWrap/>
            <w:vAlign w:val="bottom"/>
          </w:tcPr>
          <w:p w:rsidR="007124F0" w:rsidRPr="00782D51" w:rsidRDefault="007124F0" w:rsidP="007124F0">
            <w:pPr>
              <w:jc w:val="center"/>
              <w:rPr>
                <w:rFonts w:cs="Arial"/>
                <w:sz w:val="22"/>
                <w:szCs w:val="22"/>
              </w:rPr>
            </w:pPr>
            <w:r w:rsidRPr="00782D51">
              <w:rPr>
                <w:rFonts w:cs="Arial"/>
                <w:sz w:val="22"/>
                <w:szCs w:val="22"/>
              </w:rPr>
              <w:t>-0.167***</w:t>
            </w:r>
          </w:p>
        </w:tc>
        <w:tc>
          <w:tcPr>
            <w:tcW w:w="1702" w:type="dxa"/>
            <w:noWrap/>
            <w:vAlign w:val="bottom"/>
          </w:tcPr>
          <w:p w:rsidR="007124F0" w:rsidRPr="00782D51" w:rsidRDefault="007124F0" w:rsidP="007124F0">
            <w:pPr>
              <w:jc w:val="center"/>
              <w:rPr>
                <w:rFonts w:cs="Arial"/>
                <w:sz w:val="22"/>
                <w:szCs w:val="22"/>
              </w:rPr>
            </w:pPr>
            <w:r w:rsidRPr="00782D51">
              <w:rPr>
                <w:rFonts w:cs="Arial"/>
                <w:sz w:val="22"/>
                <w:szCs w:val="22"/>
              </w:rPr>
              <w:t>0.859***</w:t>
            </w:r>
          </w:p>
        </w:tc>
        <w:tc>
          <w:tcPr>
            <w:tcW w:w="1443" w:type="dxa"/>
            <w:noWrap/>
            <w:vAlign w:val="bottom"/>
          </w:tcPr>
          <w:p w:rsidR="007124F0" w:rsidRPr="00782D51" w:rsidRDefault="007124F0" w:rsidP="007124F0">
            <w:pPr>
              <w:jc w:val="center"/>
              <w:rPr>
                <w:rFonts w:cs="Arial"/>
                <w:sz w:val="22"/>
                <w:szCs w:val="22"/>
              </w:rPr>
            </w:pPr>
            <w:r w:rsidRPr="00782D51">
              <w:rPr>
                <w:rFonts w:cs="Arial"/>
                <w:sz w:val="22"/>
                <w:szCs w:val="22"/>
              </w:rPr>
              <w:t>0.862***</w:t>
            </w:r>
          </w:p>
        </w:tc>
        <w:tc>
          <w:tcPr>
            <w:tcW w:w="1057" w:type="dxa"/>
            <w:noWrap/>
            <w:vAlign w:val="bottom"/>
          </w:tcPr>
          <w:p w:rsidR="007124F0" w:rsidRPr="00782D51" w:rsidRDefault="007124F0" w:rsidP="007124F0">
            <w:pPr>
              <w:jc w:val="center"/>
              <w:rPr>
                <w:rFonts w:cs="Arial"/>
                <w:sz w:val="22"/>
                <w:szCs w:val="22"/>
              </w:rPr>
            </w:pPr>
            <w:r w:rsidRPr="00782D51">
              <w:rPr>
                <w:rFonts w:cs="Arial"/>
                <w:sz w:val="22"/>
                <w:szCs w:val="22"/>
              </w:rPr>
              <w:t>1</w:t>
            </w:r>
          </w:p>
        </w:tc>
        <w:tc>
          <w:tcPr>
            <w:tcW w:w="1084" w:type="dxa"/>
            <w:noWrap/>
            <w:vAlign w:val="bottom"/>
          </w:tcPr>
          <w:p w:rsidR="007124F0" w:rsidRPr="00782D51" w:rsidRDefault="007124F0" w:rsidP="007124F0">
            <w:pPr>
              <w:rPr>
                <w:rFonts w:cs="Arial"/>
                <w:sz w:val="22"/>
                <w:szCs w:val="22"/>
              </w:rPr>
            </w:pPr>
          </w:p>
        </w:tc>
        <w:tc>
          <w:tcPr>
            <w:tcW w:w="1035" w:type="dxa"/>
            <w:noWrap/>
            <w:vAlign w:val="bottom"/>
          </w:tcPr>
          <w:p w:rsidR="007124F0" w:rsidRPr="00782D51" w:rsidRDefault="007124F0" w:rsidP="007124F0">
            <w:pPr>
              <w:rPr>
                <w:rFonts w:cs="Arial"/>
                <w:sz w:val="22"/>
                <w:szCs w:val="22"/>
              </w:rPr>
            </w:pPr>
          </w:p>
        </w:tc>
      </w:tr>
      <w:tr w:rsidR="007124F0" w:rsidRPr="00782D51" w:rsidTr="007124F0">
        <w:trPr>
          <w:trHeight w:val="264"/>
        </w:trPr>
        <w:tc>
          <w:tcPr>
            <w:tcW w:w="2269" w:type="dxa"/>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MarketLeverage</w:t>
            </w:r>
          </w:p>
        </w:tc>
        <w:tc>
          <w:tcPr>
            <w:tcW w:w="1197" w:type="dxa"/>
            <w:noWrap/>
            <w:vAlign w:val="bottom"/>
          </w:tcPr>
          <w:p w:rsidR="007124F0" w:rsidRPr="00782D51" w:rsidRDefault="007124F0" w:rsidP="007124F0">
            <w:pPr>
              <w:jc w:val="center"/>
              <w:rPr>
                <w:rFonts w:cs="Arial"/>
                <w:sz w:val="22"/>
                <w:szCs w:val="22"/>
              </w:rPr>
            </w:pPr>
            <w:r w:rsidRPr="00782D51">
              <w:rPr>
                <w:rFonts w:cs="Arial"/>
                <w:sz w:val="22"/>
                <w:szCs w:val="22"/>
              </w:rPr>
              <w:t>-0.366***</w:t>
            </w:r>
          </w:p>
        </w:tc>
        <w:tc>
          <w:tcPr>
            <w:tcW w:w="1702" w:type="dxa"/>
            <w:noWrap/>
            <w:vAlign w:val="bottom"/>
          </w:tcPr>
          <w:p w:rsidR="007124F0" w:rsidRPr="00782D51" w:rsidRDefault="007124F0" w:rsidP="007124F0">
            <w:pPr>
              <w:jc w:val="center"/>
              <w:rPr>
                <w:rFonts w:cs="Arial"/>
                <w:sz w:val="22"/>
                <w:szCs w:val="22"/>
              </w:rPr>
            </w:pPr>
            <w:r w:rsidRPr="00782D51">
              <w:rPr>
                <w:rFonts w:cs="Arial"/>
                <w:sz w:val="22"/>
                <w:szCs w:val="22"/>
              </w:rPr>
              <w:t>0.800***</w:t>
            </w:r>
          </w:p>
        </w:tc>
        <w:tc>
          <w:tcPr>
            <w:tcW w:w="1443" w:type="dxa"/>
            <w:noWrap/>
            <w:vAlign w:val="bottom"/>
          </w:tcPr>
          <w:p w:rsidR="007124F0" w:rsidRPr="00782D51" w:rsidRDefault="007124F0" w:rsidP="007124F0">
            <w:pPr>
              <w:jc w:val="center"/>
              <w:rPr>
                <w:rFonts w:cs="Arial"/>
                <w:sz w:val="22"/>
                <w:szCs w:val="22"/>
              </w:rPr>
            </w:pPr>
            <w:r w:rsidRPr="00782D51">
              <w:rPr>
                <w:rFonts w:cs="Arial"/>
                <w:sz w:val="22"/>
                <w:szCs w:val="22"/>
              </w:rPr>
              <w:t>0.712***</w:t>
            </w:r>
          </w:p>
        </w:tc>
        <w:tc>
          <w:tcPr>
            <w:tcW w:w="1057" w:type="dxa"/>
            <w:noWrap/>
            <w:vAlign w:val="bottom"/>
          </w:tcPr>
          <w:p w:rsidR="007124F0" w:rsidRPr="00782D51" w:rsidRDefault="007124F0" w:rsidP="007124F0">
            <w:pPr>
              <w:jc w:val="center"/>
              <w:rPr>
                <w:rFonts w:cs="Arial"/>
                <w:sz w:val="22"/>
                <w:szCs w:val="22"/>
              </w:rPr>
            </w:pPr>
            <w:r w:rsidRPr="00782D51">
              <w:rPr>
                <w:rFonts w:cs="Arial"/>
                <w:sz w:val="22"/>
                <w:szCs w:val="22"/>
              </w:rPr>
              <w:t>0.477***</w:t>
            </w:r>
          </w:p>
        </w:tc>
        <w:tc>
          <w:tcPr>
            <w:tcW w:w="1084" w:type="dxa"/>
            <w:noWrap/>
            <w:vAlign w:val="bottom"/>
          </w:tcPr>
          <w:p w:rsidR="007124F0" w:rsidRPr="00782D51" w:rsidRDefault="007124F0" w:rsidP="007124F0">
            <w:pPr>
              <w:jc w:val="center"/>
              <w:rPr>
                <w:rFonts w:cs="Arial"/>
                <w:sz w:val="22"/>
                <w:szCs w:val="22"/>
              </w:rPr>
            </w:pPr>
            <w:r w:rsidRPr="00782D51">
              <w:rPr>
                <w:rFonts w:cs="Arial"/>
                <w:sz w:val="22"/>
                <w:szCs w:val="22"/>
              </w:rPr>
              <w:t>1</w:t>
            </w:r>
          </w:p>
        </w:tc>
        <w:tc>
          <w:tcPr>
            <w:tcW w:w="1035" w:type="dxa"/>
            <w:noWrap/>
            <w:vAlign w:val="bottom"/>
          </w:tcPr>
          <w:p w:rsidR="007124F0" w:rsidRPr="00782D51" w:rsidRDefault="007124F0" w:rsidP="007124F0">
            <w:pPr>
              <w:rPr>
                <w:rFonts w:cs="Arial"/>
                <w:sz w:val="22"/>
                <w:szCs w:val="22"/>
              </w:rPr>
            </w:pPr>
          </w:p>
        </w:tc>
      </w:tr>
      <w:tr w:rsidR="007124F0" w:rsidRPr="00782D51" w:rsidTr="007124F0">
        <w:trPr>
          <w:trHeight w:val="264"/>
        </w:trPr>
        <w:tc>
          <w:tcPr>
            <w:tcW w:w="2269" w:type="dxa"/>
            <w:tcBorders>
              <w:bottom w:val="double" w:sz="4" w:space="0" w:color="auto"/>
            </w:tcBorders>
            <w:noWrap/>
            <w:vAlign w:val="bottom"/>
          </w:tcPr>
          <w:p w:rsidR="007124F0" w:rsidRPr="00782D51" w:rsidRDefault="007124F0" w:rsidP="007124F0">
            <w:pPr>
              <w:rPr>
                <w:rFonts w:cs="Arial"/>
                <w:i/>
                <w:sz w:val="22"/>
                <w:szCs w:val="22"/>
              </w:rPr>
            </w:pPr>
          </w:p>
          <w:p w:rsidR="007124F0" w:rsidRPr="00782D51" w:rsidRDefault="007124F0" w:rsidP="007124F0">
            <w:pPr>
              <w:rPr>
                <w:rFonts w:cs="Arial"/>
                <w:i/>
                <w:sz w:val="22"/>
                <w:szCs w:val="22"/>
              </w:rPr>
            </w:pPr>
            <w:r w:rsidRPr="00782D51">
              <w:rPr>
                <w:rFonts w:cs="Arial"/>
                <w:i/>
                <w:sz w:val="22"/>
                <w:szCs w:val="22"/>
              </w:rPr>
              <w:t>BookLeverage</w:t>
            </w:r>
          </w:p>
        </w:tc>
        <w:tc>
          <w:tcPr>
            <w:tcW w:w="1197"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0.169***</w:t>
            </w:r>
          </w:p>
        </w:tc>
        <w:tc>
          <w:tcPr>
            <w:tcW w:w="1702"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0.629***</w:t>
            </w:r>
          </w:p>
        </w:tc>
        <w:tc>
          <w:tcPr>
            <w:tcW w:w="1443"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0.735***</w:t>
            </w:r>
          </w:p>
        </w:tc>
        <w:tc>
          <w:tcPr>
            <w:tcW w:w="1057"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0.389***</w:t>
            </w:r>
          </w:p>
        </w:tc>
        <w:tc>
          <w:tcPr>
            <w:tcW w:w="1084" w:type="dxa"/>
            <w:tcBorders>
              <w:bottom w:val="double" w:sz="4" w:space="0" w:color="auto"/>
            </w:tcBorders>
            <w:noWrap/>
            <w:vAlign w:val="bottom"/>
          </w:tcPr>
          <w:p w:rsidR="007124F0" w:rsidRPr="00782D51" w:rsidRDefault="007124F0" w:rsidP="007124F0">
            <w:pPr>
              <w:rPr>
                <w:rFonts w:cs="Arial"/>
                <w:sz w:val="22"/>
                <w:szCs w:val="22"/>
              </w:rPr>
            </w:pPr>
            <w:r w:rsidRPr="00782D51">
              <w:rPr>
                <w:rFonts w:cs="Arial"/>
                <w:sz w:val="22"/>
                <w:szCs w:val="22"/>
              </w:rPr>
              <w:t>0.815***</w:t>
            </w:r>
          </w:p>
        </w:tc>
        <w:tc>
          <w:tcPr>
            <w:tcW w:w="1035" w:type="dxa"/>
            <w:tcBorders>
              <w:bottom w:val="double" w:sz="4" w:space="0" w:color="auto"/>
            </w:tcBorders>
            <w:noWrap/>
            <w:vAlign w:val="bottom"/>
          </w:tcPr>
          <w:p w:rsidR="007124F0" w:rsidRPr="00782D51" w:rsidRDefault="007124F0" w:rsidP="007124F0">
            <w:pPr>
              <w:jc w:val="center"/>
              <w:rPr>
                <w:rFonts w:cs="Arial"/>
                <w:sz w:val="22"/>
                <w:szCs w:val="22"/>
              </w:rPr>
            </w:pPr>
            <w:r w:rsidRPr="00782D51">
              <w:rPr>
                <w:rFonts w:cs="Arial"/>
                <w:sz w:val="22"/>
                <w:szCs w:val="22"/>
              </w:rPr>
              <w:t>1</w:t>
            </w:r>
          </w:p>
        </w:tc>
      </w:tr>
    </w:tbl>
    <w:p w:rsidR="007124F0" w:rsidRPr="00782D51" w:rsidRDefault="007124F0" w:rsidP="007124F0">
      <w:pPr>
        <w:jc w:val="both"/>
        <w:rPr>
          <w:sz w:val="22"/>
          <w:szCs w:val="22"/>
        </w:rPr>
      </w:pPr>
      <w:r w:rsidRPr="00782D51">
        <w:rPr>
          <w:sz w:val="22"/>
          <w:szCs w:val="22"/>
        </w:rPr>
        <w:t xml:space="preserve">Note: ***, ** and * indicate statistical significance at the 1%, 5% and 10% (two-tail) test levels, respectively. </w:t>
      </w:r>
    </w:p>
    <w:p w:rsidR="007124F0" w:rsidRPr="00782D51" w:rsidRDefault="007124F0" w:rsidP="007124F0">
      <w:pPr>
        <w:jc w:val="both"/>
      </w:pPr>
    </w:p>
    <w:p w:rsidR="007124F0" w:rsidRPr="00782D51" w:rsidRDefault="007124F0" w:rsidP="007124F0">
      <w:pPr>
        <w:jc w:val="both"/>
      </w:pPr>
    </w:p>
    <w:p w:rsidR="007124F0" w:rsidRPr="00782D51" w:rsidRDefault="007124F0" w:rsidP="007124F0">
      <w:pPr>
        <w:jc w:val="both"/>
      </w:pPr>
    </w:p>
    <w:p w:rsidR="007124F0" w:rsidRDefault="007124F0" w:rsidP="007124F0"/>
    <w:p w:rsidR="007124F0" w:rsidRPr="00782D51" w:rsidRDefault="007124F0" w:rsidP="007124F0">
      <w:r>
        <w:br w:type="page"/>
      </w:r>
      <w:r w:rsidRPr="00782D51">
        <w:lastRenderedPageBreak/>
        <w:t>T</w:t>
      </w:r>
      <w:r>
        <w:t>able 7</w:t>
      </w:r>
      <w:r w:rsidRPr="00782D51">
        <w:t xml:space="preserve"> – </w:t>
      </w:r>
      <w:r>
        <w:t>Components of Secured and Unsecured Debt</w:t>
      </w:r>
    </w:p>
    <w:p w:rsidR="007124F0" w:rsidRDefault="007124F0" w:rsidP="007124F0"/>
    <w:p w:rsidR="007124F0" w:rsidRPr="00BF302C" w:rsidRDefault="007124F0" w:rsidP="007124F0">
      <w:pPr>
        <w:jc w:val="both"/>
      </w:pPr>
      <w:r w:rsidRPr="00BF302C">
        <w:rPr>
          <w:sz w:val="20"/>
          <w:szCs w:val="20"/>
        </w:rPr>
        <w:t xml:space="preserve">This table reports summary statistics for the different components of secured and unsecured debt. All firm level data are from SNL Datasource over the sample period 1991-2007. The exceptions are the mortgage and secured lines of credit data, which are available in SNL Datasource from 2001. The sample includes residential, retail, office, and industrial REITs. </w:t>
      </w:r>
      <w:r w:rsidRPr="00BF302C">
        <w:rPr>
          <w:i/>
          <w:sz w:val="20"/>
          <w:szCs w:val="20"/>
        </w:rPr>
        <w:t>MortgageDebt</w:t>
      </w:r>
      <w:r w:rsidRPr="00BF302C">
        <w:rPr>
          <w:sz w:val="20"/>
          <w:szCs w:val="20"/>
        </w:rPr>
        <w:t xml:space="preserve"> is the ratio of mortgage debt (item #44331) to total liabilities plus mezzanine debt (item #18081 + item #18083). </w:t>
      </w:r>
      <w:r w:rsidRPr="00BF302C">
        <w:rPr>
          <w:i/>
          <w:sz w:val="20"/>
          <w:szCs w:val="20"/>
        </w:rPr>
        <w:t>SecuredLinesCredit</w:t>
      </w:r>
      <w:r w:rsidRPr="00BF302C">
        <w:rPr>
          <w:sz w:val="20"/>
          <w:szCs w:val="20"/>
        </w:rPr>
        <w:t xml:space="preserve"> is the ratio of secured lines of credit drawn (item #6146 – item #44331) to total liabilities plus mezzanine debt. </w:t>
      </w:r>
      <w:r w:rsidRPr="00BF302C">
        <w:rPr>
          <w:i/>
          <w:sz w:val="20"/>
          <w:szCs w:val="20"/>
        </w:rPr>
        <w:t>MezzanineDebt</w:t>
      </w:r>
      <w:r w:rsidRPr="00BF302C">
        <w:rPr>
          <w:sz w:val="20"/>
          <w:szCs w:val="20"/>
        </w:rPr>
        <w:t xml:space="preserve"> is the ratio of mezzanine debt to total liabilities plus mezzanine debt. </w:t>
      </w:r>
      <w:r w:rsidRPr="00BF302C">
        <w:rPr>
          <w:i/>
          <w:sz w:val="20"/>
          <w:szCs w:val="20"/>
        </w:rPr>
        <w:t>SecuredDebt</w:t>
      </w:r>
      <w:r w:rsidRPr="00BF302C">
        <w:rPr>
          <w:sz w:val="20"/>
          <w:szCs w:val="20"/>
        </w:rPr>
        <w:t xml:space="preserve"> is the ratio of secured plus mezzanine debt to total liabilities plus mezzanine debt. </w:t>
      </w:r>
      <w:r w:rsidRPr="00BF302C">
        <w:rPr>
          <w:i/>
          <w:sz w:val="20"/>
          <w:szCs w:val="20"/>
        </w:rPr>
        <w:t xml:space="preserve">CorporateDebt </w:t>
      </w:r>
      <w:r w:rsidRPr="00BF302C">
        <w:rPr>
          <w:sz w:val="20"/>
          <w:szCs w:val="20"/>
        </w:rPr>
        <w:t xml:space="preserve">is the ratio of unsecured debt (item #8452) minus unsecured lines of credit drawn (item #6165 – (item #6146 – item #44331)) to total liabilities plus mezzanine debt. </w:t>
      </w:r>
      <w:r w:rsidRPr="00BF302C">
        <w:rPr>
          <w:i/>
          <w:sz w:val="20"/>
          <w:szCs w:val="20"/>
        </w:rPr>
        <w:t>UnsecuredLinesCredit</w:t>
      </w:r>
      <w:r w:rsidRPr="00BF302C">
        <w:rPr>
          <w:sz w:val="20"/>
          <w:szCs w:val="20"/>
        </w:rPr>
        <w:t xml:space="preserve"> is the ratio of unsecured lines of credit drawn to total liabilities plus mezzanine debt. </w:t>
      </w:r>
      <w:r w:rsidRPr="00BF302C">
        <w:rPr>
          <w:i/>
          <w:sz w:val="20"/>
          <w:szCs w:val="20"/>
        </w:rPr>
        <w:t>Subordinated &amp; OtherLiabilities</w:t>
      </w:r>
      <w:r w:rsidRPr="00BF302C">
        <w:rPr>
          <w:sz w:val="20"/>
          <w:szCs w:val="20"/>
        </w:rPr>
        <w:t xml:space="preserve"> is the ratio of total liabilities plus mezzanine debt minus </w:t>
      </w:r>
      <w:r w:rsidRPr="00BF302C">
        <w:rPr>
          <w:i/>
          <w:sz w:val="20"/>
          <w:szCs w:val="20"/>
        </w:rPr>
        <w:t>SecuredDebt</w:t>
      </w:r>
      <w:r w:rsidRPr="00BF302C">
        <w:rPr>
          <w:sz w:val="20"/>
          <w:szCs w:val="20"/>
        </w:rPr>
        <w:t xml:space="preserve"> and </w:t>
      </w:r>
      <w:r w:rsidRPr="00BF302C">
        <w:rPr>
          <w:i/>
          <w:sz w:val="20"/>
          <w:szCs w:val="20"/>
        </w:rPr>
        <w:t>UnsecuredDebt</w:t>
      </w:r>
      <w:r w:rsidRPr="00BF302C">
        <w:rPr>
          <w:sz w:val="20"/>
          <w:szCs w:val="20"/>
        </w:rPr>
        <w:t xml:space="preserve"> to total liabilities plus mezzanine debt. This category includes junior debt and other liabilities, such as accrued expenses.</w:t>
      </w:r>
    </w:p>
    <w:p w:rsidR="007124F0" w:rsidRPr="00782D51" w:rsidRDefault="007124F0" w:rsidP="007124F0">
      <w:pPr>
        <w:jc w:val="both"/>
      </w:pPr>
    </w:p>
    <w:tbl>
      <w:tblPr>
        <w:tblW w:w="9443" w:type="dxa"/>
        <w:tblLook w:val="0000"/>
      </w:tblPr>
      <w:tblGrid>
        <w:gridCol w:w="2528"/>
        <w:gridCol w:w="1200"/>
        <w:gridCol w:w="1200"/>
        <w:gridCol w:w="1200"/>
        <w:gridCol w:w="1200"/>
        <w:gridCol w:w="1135"/>
        <w:gridCol w:w="980"/>
      </w:tblGrid>
      <w:tr w:rsidR="007124F0" w:rsidRPr="00782D51" w:rsidTr="007124F0">
        <w:trPr>
          <w:trHeight w:val="264"/>
        </w:trPr>
        <w:tc>
          <w:tcPr>
            <w:tcW w:w="2528" w:type="dxa"/>
            <w:tcBorders>
              <w:top w:val="double" w:sz="4" w:space="0" w:color="auto"/>
            </w:tcBorders>
            <w:noWrap/>
            <w:vAlign w:val="bottom"/>
          </w:tcPr>
          <w:p w:rsidR="007124F0" w:rsidRPr="00782D51" w:rsidRDefault="007124F0" w:rsidP="007124F0">
            <w:pPr>
              <w:rPr>
                <w:rFonts w:cs="Arial"/>
                <w:sz w:val="20"/>
                <w:szCs w:val="20"/>
              </w:rPr>
            </w:pPr>
          </w:p>
          <w:p w:rsidR="007124F0" w:rsidRPr="00782D51" w:rsidRDefault="007124F0" w:rsidP="007124F0">
            <w:pPr>
              <w:rPr>
                <w:rFonts w:cs="Arial"/>
                <w:sz w:val="20"/>
                <w:szCs w:val="20"/>
              </w:rPr>
            </w:pPr>
          </w:p>
        </w:tc>
        <w:tc>
          <w:tcPr>
            <w:tcW w:w="1200" w:type="dxa"/>
            <w:tcBorders>
              <w:top w:val="double" w:sz="4" w:space="0" w:color="auto"/>
            </w:tcBorders>
            <w:noWrap/>
            <w:vAlign w:val="bottom"/>
          </w:tcPr>
          <w:p w:rsidR="007124F0" w:rsidRPr="00782D51" w:rsidRDefault="007124F0" w:rsidP="007124F0">
            <w:pPr>
              <w:rPr>
                <w:rFonts w:cs="Arial"/>
                <w:sz w:val="20"/>
                <w:szCs w:val="20"/>
              </w:rPr>
            </w:pPr>
          </w:p>
        </w:tc>
        <w:tc>
          <w:tcPr>
            <w:tcW w:w="1200" w:type="dxa"/>
            <w:tcBorders>
              <w:top w:val="double" w:sz="4" w:space="0" w:color="auto"/>
            </w:tcBorders>
            <w:noWrap/>
            <w:vAlign w:val="bottom"/>
          </w:tcPr>
          <w:p w:rsidR="007124F0" w:rsidRPr="00782D51" w:rsidRDefault="007124F0" w:rsidP="007124F0">
            <w:pPr>
              <w:rPr>
                <w:rFonts w:cs="Arial"/>
                <w:sz w:val="20"/>
                <w:szCs w:val="20"/>
              </w:rPr>
            </w:pPr>
          </w:p>
        </w:tc>
        <w:tc>
          <w:tcPr>
            <w:tcW w:w="2400" w:type="dxa"/>
            <w:gridSpan w:val="2"/>
            <w:tcBorders>
              <w:top w:val="double" w:sz="4" w:space="0" w:color="auto"/>
            </w:tcBorders>
            <w:noWrap/>
            <w:vAlign w:val="bottom"/>
          </w:tcPr>
          <w:p w:rsidR="007124F0" w:rsidRPr="00782D51" w:rsidRDefault="007124F0" w:rsidP="007124F0">
            <w:pPr>
              <w:rPr>
                <w:rFonts w:cs="Arial"/>
                <w:sz w:val="20"/>
                <w:szCs w:val="20"/>
              </w:rPr>
            </w:pPr>
            <w:r w:rsidRPr="00782D51">
              <w:rPr>
                <w:rFonts w:cs="Arial"/>
                <w:sz w:val="20"/>
                <w:szCs w:val="20"/>
              </w:rPr>
              <w:t>Sample Statistics</w:t>
            </w:r>
          </w:p>
        </w:tc>
        <w:tc>
          <w:tcPr>
            <w:tcW w:w="1135" w:type="dxa"/>
            <w:tcBorders>
              <w:top w:val="double" w:sz="4" w:space="0" w:color="auto"/>
            </w:tcBorders>
            <w:noWrap/>
            <w:vAlign w:val="bottom"/>
          </w:tcPr>
          <w:p w:rsidR="007124F0" w:rsidRPr="00782D51" w:rsidRDefault="007124F0" w:rsidP="007124F0">
            <w:pPr>
              <w:rPr>
                <w:rFonts w:cs="Arial"/>
                <w:sz w:val="20"/>
                <w:szCs w:val="20"/>
              </w:rPr>
            </w:pPr>
          </w:p>
        </w:tc>
        <w:tc>
          <w:tcPr>
            <w:tcW w:w="980" w:type="dxa"/>
            <w:tcBorders>
              <w:top w:val="double" w:sz="4" w:space="0" w:color="auto"/>
            </w:tcBorders>
            <w:noWrap/>
            <w:vAlign w:val="bottom"/>
          </w:tcPr>
          <w:p w:rsidR="007124F0" w:rsidRPr="00782D51" w:rsidRDefault="007124F0" w:rsidP="007124F0">
            <w:pPr>
              <w:rPr>
                <w:rFonts w:cs="Arial"/>
                <w:sz w:val="20"/>
                <w:szCs w:val="20"/>
              </w:rPr>
            </w:pPr>
          </w:p>
        </w:tc>
      </w:tr>
      <w:tr w:rsidR="007124F0" w:rsidRPr="00782D51" w:rsidTr="007124F0">
        <w:trPr>
          <w:trHeight w:val="264"/>
        </w:trPr>
        <w:tc>
          <w:tcPr>
            <w:tcW w:w="2528" w:type="dxa"/>
            <w:tcBorders>
              <w:bottom w:val="single" w:sz="4" w:space="0" w:color="auto"/>
            </w:tcBorders>
            <w:noWrap/>
            <w:vAlign w:val="bottom"/>
          </w:tcPr>
          <w:p w:rsidR="007124F0" w:rsidRPr="002F5CEB" w:rsidRDefault="007124F0" w:rsidP="007124F0">
            <w:pPr>
              <w:rPr>
                <w:rFonts w:cs="Arial"/>
                <w:b/>
                <w:i/>
                <w:sz w:val="20"/>
                <w:szCs w:val="20"/>
              </w:rPr>
            </w:pPr>
            <w:r>
              <w:rPr>
                <w:rFonts w:cs="Arial"/>
                <w:b/>
                <w:i/>
                <w:sz w:val="20"/>
                <w:szCs w:val="20"/>
              </w:rPr>
              <w:t>Panel A</w:t>
            </w:r>
          </w:p>
        </w:tc>
        <w:tc>
          <w:tcPr>
            <w:tcW w:w="1200"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Mean</w:t>
            </w:r>
          </w:p>
        </w:tc>
        <w:tc>
          <w:tcPr>
            <w:tcW w:w="1200"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Median</w:t>
            </w:r>
          </w:p>
        </w:tc>
        <w:tc>
          <w:tcPr>
            <w:tcW w:w="1200"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St. Dev.</w:t>
            </w:r>
          </w:p>
        </w:tc>
        <w:tc>
          <w:tcPr>
            <w:tcW w:w="1200"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25th Pct.</w:t>
            </w:r>
          </w:p>
        </w:tc>
        <w:tc>
          <w:tcPr>
            <w:tcW w:w="1135"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75th Pct.</w:t>
            </w:r>
          </w:p>
        </w:tc>
        <w:tc>
          <w:tcPr>
            <w:tcW w:w="980" w:type="dxa"/>
            <w:tcBorders>
              <w:bottom w:val="single" w:sz="4" w:space="0" w:color="auto"/>
            </w:tcBorders>
            <w:noWrap/>
            <w:vAlign w:val="bottom"/>
          </w:tcPr>
          <w:p w:rsidR="007124F0" w:rsidRPr="00782D51" w:rsidRDefault="007124F0" w:rsidP="007124F0">
            <w:pPr>
              <w:jc w:val="center"/>
              <w:rPr>
                <w:rFonts w:cs="Arial"/>
                <w:sz w:val="20"/>
                <w:szCs w:val="20"/>
              </w:rPr>
            </w:pPr>
            <w:r w:rsidRPr="00782D51">
              <w:rPr>
                <w:rFonts w:cs="Arial"/>
                <w:sz w:val="20"/>
                <w:szCs w:val="20"/>
              </w:rPr>
              <w:t>Obs.</w:t>
            </w:r>
          </w:p>
        </w:tc>
      </w:tr>
      <w:tr w:rsidR="007124F0" w:rsidRPr="00265431" w:rsidTr="007124F0">
        <w:trPr>
          <w:trHeight w:val="264"/>
        </w:trPr>
        <w:tc>
          <w:tcPr>
            <w:tcW w:w="2528"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b/>
                <w:i/>
                <w:sz w:val="20"/>
                <w:szCs w:val="20"/>
              </w:rPr>
            </w:pPr>
            <w:r w:rsidRPr="00265431">
              <w:rPr>
                <w:rFonts w:cs="Arial"/>
                <w:b/>
                <w:i/>
                <w:sz w:val="20"/>
                <w:szCs w:val="20"/>
              </w:rPr>
              <w:t>SecuredDebt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0.643</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0.758</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0.307</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0.383</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0.921</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1,376</w:t>
            </w:r>
          </w:p>
        </w:tc>
      </w:tr>
      <w:tr w:rsidR="007124F0" w:rsidRPr="00265431" w:rsidTr="007124F0">
        <w:trPr>
          <w:trHeight w:val="264"/>
        </w:trPr>
        <w:tc>
          <w:tcPr>
            <w:tcW w:w="2528"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i/>
                <w:sz w:val="20"/>
                <w:szCs w:val="20"/>
              </w:rPr>
            </w:pPr>
            <w:r w:rsidRPr="00265431">
              <w:rPr>
                <w:rFonts w:cs="Arial"/>
                <w:i/>
                <w:sz w:val="20"/>
                <w:szCs w:val="20"/>
              </w:rPr>
              <w:t xml:space="preserve">  MortgageDebt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0.511</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0.506</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0.276</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0.267</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0.778</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426</w:t>
            </w:r>
          </w:p>
        </w:tc>
      </w:tr>
      <w:tr w:rsidR="007124F0" w:rsidRPr="00265431" w:rsidTr="007124F0">
        <w:trPr>
          <w:trHeight w:val="264"/>
        </w:trPr>
        <w:tc>
          <w:tcPr>
            <w:tcW w:w="2528" w:type="dxa"/>
            <w:noWrap/>
            <w:vAlign w:val="bottom"/>
          </w:tcPr>
          <w:p w:rsidR="007124F0" w:rsidRPr="00265431" w:rsidRDefault="007124F0" w:rsidP="007124F0">
            <w:pPr>
              <w:rPr>
                <w:rFonts w:cs="dcr10"/>
                <w:i/>
                <w:sz w:val="20"/>
                <w:szCs w:val="20"/>
              </w:rPr>
            </w:pPr>
          </w:p>
          <w:p w:rsidR="007124F0" w:rsidRPr="00265431" w:rsidRDefault="007124F0" w:rsidP="007124F0">
            <w:pPr>
              <w:rPr>
                <w:rFonts w:cs="dcr10"/>
                <w:i/>
                <w:sz w:val="20"/>
                <w:szCs w:val="20"/>
              </w:rPr>
            </w:pPr>
            <w:r w:rsidRPr="00265431">
              <w:rPr>
                <w:rFonts w:cs="dcr10"/>
                <w:i/>
                <w:sz w:val="20"/>
                <w:szCs w:val="20"/>
              </w:rPr>
              <w:t xml:space="preserve">  MezzanineDebt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0.071</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0.034</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0.105</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0.000</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0.110</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1,388</w:t>
            </w:r>
          </w:p>
        </w:tc>
      </w:tr>
      <w:tr w:rsidR="007124F0" w:rsidRPr="00265431" w:rsidTr="007124F0">
        <w:trPr>
          <w:trHeight w:val="264"/>
        </w:trPr>
        <w:tc>
          <w:tcPr>
            <w:tcW w:w="2528" w:type="dxa"/>
            <w:noWrap/>
            <w:vAlign w:val="bottom"/>
          </w:tcPr>
          <w:p w:rsidR="007124F0" w:rsidRPr="00265431" w:rsidRDefault="007124F0" w:rsidP="007124F0">
            <w:pPr>
              <w:rPr>
                <w:rFonts w:cs="dcr10"/>
                <w:i/>
                <w:sz w:val="20"/>
                <w:szCs w:val="20"/>
              </w:rPr>
            </w:pPr>
          </w:p>
          <w:p w:rsidR="007124F0" w:rsidRPr="00265431" w:rsidRDefault="007124F0" w:rsidP="007124F0">
            <w:pPr>
              <w:rPr>
                <w:rFonts w:cs="Arial"/>
                <w:i/>
                <w:sz w:val="20"/>
                <w:szCs w:val="20"/>
              </w:rPr>
            </w:pPr>
            <w:r w:rsidRPr="00265431">
              <w:rPr>
                <w:rFonts w:cs="dcr10"/>
                <w:i/>
                <w:sz w:val="20"/>
                <w:szCs w:val="20"/>
              </w:rPr>
              <w:t xml:space="preserve">  SecuredLinesCredit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0.027</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0.000</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0.086</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0.000</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0.000</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424</w:t>
            </w:r>
          </w:p>
        </w:tc>
      </w:tr>
      <w:tr w:rsidR="007124F0" w:rsidRPr="00265431" w:rsidTr="007124F0">
        <w:trPr>
          <w:trHeight w:val="264"/>
        </w:trPr>
        <w:tc>
          <w:tcPr>
            <w:tcW w:w="2528"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b/>
                <w:i/>
                <w:sz w:val="20"/>
                <w:szCs w:val="20"/>
              </w:rPr>
            </w:pPr>
            <w:r w:rsidRPr="00265431">
              <w:rPr>
                <w:rFonts w:cs="Arial"/>
                <w:b/>
                <w:i/>
                <w:sz w:val="20"/>
                <w:szCs w:val="20"/>
              </w:rPr>
              <w:t>Unsecured Debt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0.314</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0.273</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0.285</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0.009</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0.580</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422</w:t>
            </w:r>
          </w:p>
        </w:tc>
      </w:tr>
      <w:tr w:rsidR="007124F0" w:rsidRPr="00265431" w:rsidTr="007124F0">
        <w:trPr>
          <w:trHeight w:val="264"/>
        </w:trPr>
        <w:tc>
          <w:tcPr>
            <w:tcW w:w="2528"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i/>
                <w:sz w:val="20"/>
                <w:szCs w:val="20"/>
              </w:rPr>
            </w:pPr>
            <w:r w:rsidRPr="00265431">
              <w:rPr>
                <w:rFonts w:cs="Arial"/>
                <w:i/>
                <w:sz w:val="20"/>
                <w:szCs w:val="20"/>
              </w:rPr>
              <w:t xml:space="preserve">  CorporateDebt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0.244</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0.145</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0.263</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0.000</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0.501</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422</w:t>
            </w:r>
          </w:p>
        </w:tc>
      </w:tr>
      <w:tr w:rsidR="007124F0" w:rsidRPr="00265431" w:rsidTr="007124F0">
        <w:trPr>
          <w:trHeight w:val="264"/>
        </w:trPr>
        <w:tc>
          <w:tcPr>
            <w:tcW w:w="2528"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i/>
                <w:sz w:val="20"/>
                <w:szCs w:val="20"/>
              </w:rPr>
            </w:pPr>
            <w:r w:rsidRPr="00265431">
              <w:rPr>
                <w:rFonts w:cs="Arial"/>
                <w:i/>
                <w:sz w:val="20"/>
                <w:szCs w:val="20"/>
              </w:rPr>
              <w:t xml:space="preserve">  UnsecuredLinesCredit</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0.069</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0.035</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0.085</w:t>
            </w:r>
          </w:p>
        </w:tc>
        <w:tc>
          <w:tcPr>
            <w:tcW w:w="1200" w:type="dxa"/>
            <w:noWrap/>
            <w:vAlign w:val="bottom"/>
          </w:tcPr>
          <w:p w:rsidR="007124F0" w:rsidRPr="00265431" w:rsidRDefault="007124F0" w:rsidP="007124F0">
            <w:pPr>
              <w:jc w:val="center"/>
              <w:rPr>
                <w:rFonts w:cs="Arial"/>
                <w:sz w:val="20"/>
                <w:szCs w:val="20"/>
              </w:rPr>
            </w:pPr>
            <w:r w:rsidRPr="00265431">
              <w:rPr>
                <w:rFonts w:cs="Arial"/>
                <w:sz w:val="20"/>
                <w:szCs w:val="20"/>
              </w:rPr>
              <w:t>0.000</w:t>
            </w:r>
          </w:p>
        </w:tc>
        <w:tc>
          <w:tcPr>
            <w:tcW w:w="1135" w:type="dxa"/>
            <w:noWrap/>
            <w:vAlign w:val="bottom"/>
          </w:tcPr>
          <w:p w:rsidR="007124F0" w:rsidRPr="00265431" w:rsidRDefault="007124F0" w:rsidP="007124F0">
            <w:pPr>
              <w:jc w:val="center"/>
              <w:rPr>
                <w:rFonts w:cs="Arial"/>
                <w:sz w:val="20"/>
                <w:szCs w:val="20"/>
              </w:rPr>
            </w:pPr>
            <w:r w:rsidRPr="00265431">
              <w:rPr>
                <w:rFonts w:cs="Arial"/>
                <w:sz w:val="20"/>
                <w:szCs w:val="20"/>
              </w:rPr>
              <w:t>0.109</w:t>
            </w:r>
          </w:p>
        </w:tc>
        <w:tc>
          <w:tcPr>
            <w:tcW w:w="980" w:type="dxa"/>
            <w:noWrap/>
            <w:vAlign w:val="bottom"/>
          </w:tcPr>
          <w:p w:rsidR="007124F0" w:rsidRPr="00265431" w:rsidRDefault="007124F0" w:rsidP="007124F0">
            <w:pPr>
              <w:jc w:val="center"/>
              <w:rPr>
                <w:rFonts w:cs="Arial"/>
                <w:sz w:val="20"/>
                <w:szCs w:val="20"/>
              </w:rPr>
            </w:pPr>
            <w:r w:rsidRPr="00265431">
              <w:rPr>
                <w:rFonts w:cs="Arial"/>
                <w:sz w:val="20"/>
                <w:szCs w:val="20"/>
              </w:rPr>
              <w:t>422</w:t>
            </w:r>
          </w:p>
        </w:tc>
      </w:tr>
      <w:tr w:rsidR="007124F0" w:rsidRPr="00265431" w:rsidTr="007124F0">
        <w:trPr>
          <w:trHeight w:val="264"/>
        </w:trPr>
        <w:tc>
          <w:tcPr>
            <w:tcW w:w="2528" w:type="dxa"/>
            <w:noWrap/>
            <w:vAlign w:val="bottom"/>
          </w:tcPr>
          <w:p w:rsidR="007124F0" w:rsidRPr="00265431" w:rsidRDefault="007124F0" w:rsidP="007124F0">
            <w:pPr>
              <w:rPr>
                <w:rFonts w:cs="Arial"/>
                <w:i/>
                <w:sz w:val="20"/>
                <w:szCs w:val="20"/>
              </w:rPr>
            </w:pPr>
          </w:p>
        </w:tc>
        <w:tc>
          <w:tcPr>
            <w:tcW w:w="1200" w:type="dxa"/>
            <w:noWrap/>
            <w:vAlign w:val="bottom"/>
          </w:tcPr>
          <w:p w:rsidR="007124F0" w:rsidRPr="00265431" w:rsidRDefault="007124F0" w:rsidP="007124F0">
            <w:pPr>
              <w:jc w:val="center"/>
              <w:rPr>
                <w:rFonts w:cs="Arial"/>
                <w:sz w:val="20"/>
                <w:szCs w:val="20"/>
              </w:rPr>
            </w:pPr>
          </w:p>
        </w:tc>
        <w:tc>
          <w:tcPr>
            <w:tcW w:w="1200" w:type="dxa"/>
            <w:noWrap/>
            <w:vAlign w:val="bottom"/>
          </w:tcPr>
          <w:p w:rsidR="007124F0" w:rsidRPr="00265431" w:rsidRDefault="007124F0" w:rsidP="007124F0">
            <w:pPr>
              <w:jc w:val="center"/>
              <w:rPr>
                <w:rFonts w:cs="Arial"/>
                <w:sz w:val="20"/>
                <w:szCs w:val="20"/>
              </w:rPr>
            </w:pPr>
          </w:p>
        </w:tc>
        <w:tc>
          <w:tcPr>
            <w:tcW w:w="1200" w:type="dxa"/>
            <w:noWrap/>
            <w:vAlign w:val="bottom"/>
          </w:tcPr>
          <w:p w:rsidR="007124F0" w:rsidRPr="00265431" w:rsidRDefault="007124F0" w:rsidP="007124F0">
            <w:pPr>
              <w:jc w:val="center"/>
              <w:rPr>
                <w:rFonts w:cs="Arial"/>
                <w:sz w:val="20"/>
                <w:szCs w:val="20"/>
              </w:rPr>
            </w:pPr>
          </w:p>
        </w:tc>
        <w:tc>
          <w:tcPr>
            <w:tcW w:w="1200" w:type="dxa"/>
            <w:noWrap/>
            <w:vAlign w:val="bottom"/>
          </w:tcPr>
          <w:p w:rsidR="007124F0" w:rsidRPr="00265431" w:rsidRDefault="007124F0" w:rsidP="007124F0">
            <w:pPr>
              <w:jc w:val="center"/>
              <w:rPr>
                <w:rFonts w:cs="Arial"/>
                <w:sz w:val="20"/>
                <w:szCs w:val="20"/>
              </w:rPr>
            </w:pPr>
          </w:p>
        </w:tc>
        <w:tc>
          <w:tcPr>
            <w:tcW w:w="1135" w:type="dxa"/>
            <w:noWrap/>
            <w:vAlign w:val="bottom"/>
          </w:tcPr>
          <w:p w:rsidR="007124F0" w:rsidRPr="00265431" w:rsidRDefault="007124F0" w:rsidP="007124F0">
            <w:pPr>
              <w:jc w:val="center"/>
              <w:rPr>
                <w:rFonts w:cs="Arial"/>
                <w:sz w:val="20"/>
                <w:szCs w:val="20"/>
              </w:rPr>
            </w:pPr>
          </w:p>
        </w:tc>
        <w:tc>
          <w:tcPr>
            <w:tcW w:w="980" w:type="dxa"/>
            <w:noWrap/>
            <w:vAlign w:val="bottom"/>
          </w:tcPr>
          <w:p w:rsidR="007124F0" w:rsidRPr="00265431" w:rsidRDefault="007124F0" w:rsidP="007124F0">
            <w:pPr>
              <w:jc w:val="center"/>
              <w:rPr>
                <w:rFonts w:cs="Arial"/>
                <w:sz w:val="20"/>
                <w:szCs w:val="20"/>
              </w:rPr>
            </w:pPr>
          </w:p>
        </w:tc>
      </w:tr>
      <w:tr w:rsidR="007124F0" w:rsidRPr="00265431" w:rsidTr="007124F0">
        <w:trPr>
          <w:trHeight w:val="264"/>
        </w:trPr>
        <w:tc>
          <w:tcPr>
            <w:tcW w:w="2528" w:type="dxa"/>
            <w:noWrap/>
            <w:vAlign w:val="bottom"/>
          </w:tcPr>
          <w:p w:rsidR="007124F0" w:rsidRPr="00265431" w:rsidRDefault="007124F0" w:rsidP="007124F0">
            <w:pPr>
              <w:rPr>
                <w:rFonts w:cs="Arial"/>
                <w:b/>
                <w:i/>
                <w:sz w:val="20"/>
                <w:szCs w:val="20"/>
              </w:rPr>
            </w:pPr>
            <w:r w:rsidRPr="00265431">
              <w:rPr>
                <w:rFonts w:cs="Arial"/>
                <w:b/>
                <w:i/>
                <w:sz w:val="20"/>
                <w:szCs w:val="20"/>
              </w:rPr>
              <w:t>Subordinated &amp; Other Liabilities</w:t>
            </w:r>
          </w:p>
        </w:tc>
        <w:tc>
          <w:tcPr>
            <w:tcW w:w="1200" w:type="dxa"/>
            <w:noWrap/>
          </w:tcPr>
          <w:p w:rsidR="007124F0" w:rsidRPr="00265431" w:rsidRDefault="007124F0" w:rsidP="007124F0">
            <w:pPr>
              <w:jc w:val="center"/>
              <w:rPr>
                <w:rFonts w:cs="Arial"/>
                <w:sz w:val="20"/>
                <w:szCs w:val="20"/>
              </w:rPr>
            </w:pPr>
            <w:r w:rsidRPr="00265431">
              <w:rPr>
                <w:rFonts w:cs="Arial"/>
                <w:sz w:val="20"/>
                <w:szCs w:val="20"/>
              </w:rPr>
              <w:t>0.078</w:t>
            </w:r>
          </w:p>
        </w:tc>
        <w:tc>
          <w:tcPr>
            <w:tcW w:w="1200" w:type="dxa"/>
            <w:noWrap/>
          </w:tcPr>
          <w:p w:rsidR="007124F0" w:rsidRPr="00265431" w:rsidRDefault="007124F0" w:rsidP="007124F0">
            <w:pPr>
              <w:jc w:val="center"/>
              <w:rPr>
                <w:rFonts w:cs="Arial"/>
                <w:sz w:val="20"/>
                <w:szCs w:val="20"/>
              </w:rPr>
            </w:pPr>
            <w:r w:rsidRPr="00265431">
              <w:rPr>
                <w:rFonts w:cs="Arial"/>
                <w:sz w:val="20"/>
                <w:szCs w:val="20"/>
              </w:rPr>
              <w:t>0.070</w:t>
            </w:r>
          </w:p>
        </w:tc>
        <w:tc>
          <w:tcPr>
            <w:tcW w:w="1200" w:type="dxa"/>
            <w:noWrap/>
          </w:tcPr>
          <w:p w:rsidR="007124F0" w:rsidRPr="00265431" w:rsidRDefault="007124F0" w:rsidP="007124F0">
            <w:pPr>
              <w:jc w:val="center"/>
              <w:rPr>
                <w:rFonts w:cs="Arial"/>
                <w:sz w:val="20"/>
                <w:szCs w:val="20"/>
              </w:rPr>
            </w:pPr>
            <w:r w:rsidRPr="00265431">
              <w:rPr>
                <w:rFonts w:cs="Arial"/>
                <w:sz w:val="20"/>
                <w:szCs w:val="20"/>
              </w:rPr>
              <w:t>0.041</w:t>
            </w:r>
          </w:p>
        </w:tc>
        <w:tc>
          <w:tcPr>
            <w:tcW w:w="1200" w:type="dxa"/>
            <w:noWrap/>
          </w:tcPr>
          <w:p w:rsidR="007124F0" w:rsidRPr="00265431" w:rsidRDefault="007124F0" w:rsidP="007124F0">
            <w:pPr>
              <w:jc w:val="center"/>
              <w:rPr>
                <w:rFonts w:cs="Arial"/>
                <w:sz w:val="20"/>
                <w:szCs w:val="20"/>
              </w:rPr>
            </w:pPr>
            <w:r w:rsidRPr="00265431">
              <w:rPr>
                <w:rFonts w:cs="Arial"/>
                <w:sz w:val="20"/>
                <w:szCs w:val="20"/>
              </w:rPr>
              <w:t>0.052</w:t>
            </w:r>
          </w:p>
        </w:tc>
        <w:tc>
          <w:tcPr>
            <w:tcW w:w="1135" w:type="dxa"/>
            <w:noWrap/>
          </w:tcPr>
          <w:p w:rsidR="007124F0" w:rsidRPr="00265431" w:rsidRDefault="007124F0" w:rsidP="007124F0">
            <w:pPr>
              <w:jc w:val="center"/>
              <w:rPr>
                <w:rFonts w:cs="Arial"/>
                <w:sz w:val="20"/>
                <w:szCs w:val="20"/>
              </w:rPr>
            </w:pPr>
            <w:r w:rsidRPr="00265431">
              <w:rPr>
                <w:rFonts w:cs="Arial"/>
                <w:sz w:val="20"/>
                <w:szCs w:val="20"/>
              </w:rPr>
              <w:t>0.091</w:t>
            </w:r>
          </w:p>
        </w:tc>
        <w:tc>
          <w:tcPr>
            <w:tcW w:w="980" w:type="dxa"/>
            <w:noWrap/>
          </w:tcPr>
          <w:p w:rsidR="007124F0" w:rsidRPr="00265431" w:rsidRDefault="007124F0" w:rsidP="007124F0">
            <w:pPr>
              <w:jc w:val="center"/>
              <w:rPr>
                <w:rFonts w:cs="Arial"/>
                <w:sz w:val="20"/>
                <w:szCs w:val="20"/>
              </w:rPr>
            </w:pPr>
            <w:r w:rsidRPr="00265431">
              <w:rPr>
                <w:rFonts w:cs="Arial"/>
                <w:sz w:val="20"/>
                <w:szCs w:val="20"/>
              </w:rPr>
              <w:t>422</w:t>
            </w:r>
          </w:p>
        </w:tc>
      </w:tr>
      <w:tr w:rsidR="007124F0" w:rsidRPr="00265431" w:rsidTr="007124F0">
        <w:trPr>
          <w:trHeight w:val="264"/>
        </w:trPr>
        <w:tc>
          <w:tcPr>
            <w:tcW w:w="2528" w:type="dxa"/>
            <w:noWrap/>
            <w:vAlign w:val="bottom"/>
          </w:tcPr>
          <w:p w:rsidR="007124F0" w:rsidRPr="00265431" w:rsidRDefault="007124F0" w:rsidP="007124F0">
            <w:pPr>
              <w:rPr>
                <w:rFonts w:cs="Arial"/>
                <w:b/>
                <w:i/>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135" w:type="dxa"/>
            <w:noWrap/>
          </w:tcPr>
          <w:p w:rsidR="007124F0" w:rsidRPr="00265431" w:rsidRDefault="007124F0" w:rsidP="007124F0">
            <w:pPr>
              <w:jc w:val="center"/>
              <w:rPr>
                <w:rFonts w:cs="Arial"/>
                <w:sz w:val="20"/>
                <w:szCs w:val="20"/>
              </w:rPr>
            </w:pPr>
          </w:p>
        </w:tc>
        <w:tc>
          <w:tcPr>
            <w:tcW w:w="980" w:type="dxa"/>
            <w:noWrap/>
          </w:tcPr>
          <w:p w:rsidR="007124F0" w:rsidRPr="00265431" w:rsidRDefault="007124F0" w:rsidP="007124F0">
            <w:pPr>
              <w:jc w:val="center"/>
              <w:rPr>
                <w:rFonts w:cs="Arial"/>
                <w:sz w:val="20"/>
                <w:szCs w:val="20"/>
              </w:rPr>
            </w:pPr>
          </w:p>
        </w:tc>
      </w:tr>
      <w:tr w:rsidR="007124F0" w:rsidRPr="00265431" w:rsidTr="007124F0">
        <w:trPr>
          <w:trHeight w:val="264"/>
        </w:trPr>
        <w:tc>
          <w:tcPr>
            <w:tcW w:w="2528" w:type="dxa"/>
            <w:noWrap/>
            <w:vAlign w:val="bottom"/>
          </w:tcPr>
          <w:p w:rsidR="007124F0" w:rsidRPr="009E1E01" w:rsidRDefault="007124F0" w:rsidP="007124F0">
            <w:pPr>
              <w:rPr>
                <w:rFonts w:cs="Arial"/>
                <w:b/>
                <w:i/>
                <w:sz w:val="20"/>
                <w:szCs w:val="20"/>
                <w:u w:val="single"/>
              </w:rPr>
            </w:pPr>
            <w:r w:rsidRPr="009E1E01">
              <w:rPr>
                <w:rFonts w:cs="Arial"/>
                <w:b/>
                <w:i/>
                <w:sz w:val="20"/>
                <w:szCs w:val="20"/>
                <w:u w:val="single"/>
              </w:rPr>
              <w:t>Panel B</w:t>
            </w:r>
          </w:p>
        </w:tc>
        <w:tc>
          <w:tcPr>
            <w:tcW w:w="1200" w:type="dxa"/>
            <w:noWrap/>
          </w:tcPr>
          <w:p w:rsidR="007124F0" w:rsidRPr="009E1E01" w:rsidRDefault="007124F0" w:rsidP="007124F0">
            <w:pPr>
              <w:jc w:val="center"/>
              <w:rPr>
                <w:rFonts w:cs="Arial"/>
                <w:sz w:val="20"/>
                <w:szCs w:val="20"/>
              </w:rPr>
            </w:pPr>
          </w:p>
        </w:tc>
        <w:tc>
          <w:tcPr>
            <w:tcW w:w="1200" w:type="dxa"/>
            <w:noWrap/>
          </w:tcPr>
          <w:p w:rsidR="007124F0" w:rsidRPr="009E1E01" w:rsidRDefault="007124F0" w:rsidP="007124F0">
            <w:pPr>
              <w:jc w:val="center"/>
              <w:rPr>
                <w:rFonts w:cs="Arial"/>
                <w:sz w:val="20"/>
                <w:szCs w:val="20"/>
              </w:rPr>
            </w:pPr>
          </w:p>
        </w:tc>
        <w:tc>
          <w:tcPr>
            <w:tcW w:w="1200" w:type="dxa"/>
            <w:noWrap/>
          </w:tcPr>
          <w:p w:rsidR="007124F0" w:rsidRPr="009E1E01" w:rsidRDefault="007124F0" w:rsidP="007124F0">
            <w:pPr>
              <w:jc w:val="center"/>
              <w:rPr>
                <w:rFonts w:cs="Arial"/>
                <w:sz w:val="20"/>
                <w:szCs w:val="20"/>
              </w:rPr>
            </w:pPr>
          </w:p>
        </w:tc>
        <w:tc>
          <w:tcPr>
            <w:tcW w:w="1200" w:type="dxa"/>
            <w:noWrap/>
          </w:tcPr>
          <w:p w:rsidR="007124F0" w:rsidRPr="009E1E01" w:rsidRDefault="007124F0" w:rsidP="007124F0">
            <w:pPr>
              <w:jc w:val="center"/>
              <w:rPr>
                <w:rFonts w:cs="Arial"/>
                <w:sz w:val="20"/>
                <w:szCs w:val="20"/>
              </w:rPr>
            </w:pPr>
          </w:p>
        </w:tc>
        <w:tc>
          <w:tcPr>
            <w:tcW w:w="1135" w:type="dxa"/>
            <w:noWrap/>
          </w:tcPr>
          <w:p w:rsidR="007124F0" w:rsidRPr="009E1E01" w:rsidRDefault="007124F0" w:rsidP="007124F0">
            <w:pPr>
              <w:jc w:val="center"/>
              <w:rPr>
                <w:rFonts w:cs="Arial"/>
                <w:sz w:val="20"/>
                <w:szCs w:val="20"/>
              </w:rPr>
            </w:pPr>
          </w:p>
        </w:tc>
        <w:tc>
          <w:tcPr>
            <w:tcW w:w="980" w:type="dxa"/>
            <w:noWrap/>
          </w:tcPr>
          <w:p w:rsidR="007124F0" w:rsidRPr="009E1E01" w:rsidRDefault="007124F0" w:rsidP="007124F0">
            <w:pPr>
              <w:jc w:val="center"/>
              <w:rPr>
                <w:rFonts w:cs="Arial"/>
                <w:sz w:val="20"/>
                <w:szCs w:val="20"/>
              </w:rPr>
            </w:pPr>
          </w:p>
        </w:tc>
      </w:tr>
      <w:tr w:rsidR="007124F0" w:rsidRPr="00265431" w:rsidTr="007124F0">
        <w:trPr>
          <w:trHeight w:val="264"/>
        </w:trPr>
        <w:tc>
          <w:tcPr>
            <w:tcW w:w="2528" w:type="dxa"/>
            <w:noWrap/>
            <w:vAlign w:val="bottom"/>
          </w:tcPr>
          <w:p w:rsidR="007124F0" w:rsidRPr="002F5CEB" w:rsidRDefault="007124F0" w:rsidP="007124F0">
            <w:pPr>
              <w:rPr>
                <w:rFonts w:cs="Arial"/>
                <w:i/>
                <w:sz w:val="20"/>
                <w:szCs w:val="20"/>
              </w:rPr>
            </w:pPr>
            <w:r>
              <w:rPr>
                <w:rFonts w:cs="Arial"/>
                <w:b/>
                <w:i/>
                <w:sz w:val="20"/>
                <w:szCs w:val="20"/>
              </w:rPr>
              <w:t xml:space="preserve">  </w:t>
            </w:r>
            <w:r>
              <w:rPr>
                <w:rFonts w:cs="Arial"/>
                <w:i/>
                <w:sz w:val="20"/>
                <w:szCs w:val="20"/>
              </w:rPr>
              <w:t>Firms with No SecuredLinesCredit</w:t>
            </w:r>
          </w:p>
        </w:tc>
        <w:tc>
          <w:tcPr>
            <w:tcW w:w="1200" w:type="dxa"/>
            <w:noWrap/>
          </w:tcPr>
          <w:p w:rsidR="007124F0" w:rsidRDefault="007124F0" w:rsidP="007124F0">
            <w:pPr>
              <w:jc w:val="center"/>
              <w:rPr>
                <w:rFonts w:cs="Arial"/>
                <w:sz w:val="20"/>
                <w:szCs w:val="20"/>
              </w:rPr>
            </w:pPr>
          </w:p>
          <w:p w:rsidR="007124F0" w:rsidRPr="00265431" w:rsidRDefault="007124F0" w:rsidP="007124F0">
            <w:pPr>
              <w:jc w:val="center"/>
              <w:rPr>
                <w:rFonts w:cs="Arial"/>
                <w:sz w:val="20"/>
                <w:szCs w:val="20"/>
              </w:rPr>
            </w:pPr>
            <w:r>
              <w:rPr>
                <w:rFonts w:cs="Arial"/>
                <w:sz w:val="20"/>
                <w:szCs w:val="20"/>
              </w:rPr>
              <w:t>0.757</w:t>
            </w: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135" w:type="dxa"/>
            <w:noWrap/>
          </w:tcPr>
          <w:p w:rsidR="007124F0" w:rsidRPr="00265431" w:rsidRDefault="007124F0" w:rsidP="007124F0">
            <w:pPr>
              <w:jc w:val="center"/>
              <w:rPr>
                <w:rFonts w:cs="Arial"/>
                <w:sz w:val="20"/>
                <w:szCs w:val="20"/>
              </w:rPr>
            </w:pPr>
          </w:p>
        </w:tc>
        <w:tc>
          <w:tcPr>
            <w:tcW w:w="980" w:type="dxa"/>
            <w:noWrap/>
          </w:tcPr>
          <w:p w:rsidR="007124F0" w:rsidRPr="00265431" w:rsidRDefault="007124F0" w:rsidP="007124F0">
            <w:pPr>
              <w:jc w:val="center"/>
              <w:rPr>
                <w:rFonts w:cs="Arial"/>
                <w:sz w:val="20"/>
                <w:szCs w:val="20"/>
              </w:rPr>
            </w:pPr>
          </w:p>
        </w:tc>
      </w:tr>
      <w:tr w:rsidR="007124F0" w:rsidRPr="00265431" w:rsidTr="007124F0">
        <w:trPr>
          <w:trHeight w:val="264"/>
        </w:trPr>
        <w:tc>
          <w:tcPr>
            <w:tcW w:w="2528" w:type="dxa"/>
            <w:noWrap/>
            <w:vAlign w:val="bottom"/>
          </w:tcPr>
          <w:p w:rsidR="007124F0" w:rsidRPr="0085177E" w:rsidRDefault="007124F0" w:rsidP="007124F0">
            <w:pPr>
              <w:rPr>
                <w:rFonts w:cs="Arial"/>
                <w:i/>
                <w:sz w:val="20"/>
                <w:szCs w:val="20"/>
              </w:rPr>
            </w:pPr>
            <w:r>
              <w:rPr>
                <w:rFonts w:cs="Arial"/>
                <w:b/>
                <w:i/>
                <w:sz w:val="20"/>
                <w:szCs w:val="20"/>
              </w:rPr>
              <w:t xml:space="preserve">  </w:t>
            </w:r>
            <w:r>
              <w:rPr>
                <w:rFonts w:cs="Arial"/>
                <w:i/>
                <w:sz w:val="20"/>
                <w:szCs w:val="20"/>
              </w:rPr>
              <w:t xml:space="preserve"> Firms with No Unsecured BankLinesCredit</w:t>
            </w:r>
          </w:p>
        </w:tc>
        <w:tc>
          <w:tcPr>
            <w:tcW w:w="1200" w:type="dxa"/>
            <w:noWrap/>
          </w:tcPr>
          <w:p w:rsidR="007124F0" w:rsidRDefault="007124F0" w:rsidP="007124F0">
            <w:pPr>
              <w:jc w:val="center"/>
              <w:rPr>
                <w:rFonts w:cs="Arial"/>
                <w:sz w:val="20"/>
                <w:szCs w:val="20"/>
              </w:rPr>
            </w:pPr>
          </w:p>
          <w:p w:rsidR="007124F0" w:rsidRPr="00265431" w:rsidRDefault="007124F0" w:rsidP="007124F0">
            <w:pPr>
              <w:jc w:val="center"/>
              <w:rPr>
                <w:rFonts w:cs="Arial"/>
                <w:sz w:val="20"/>
                <w:szCs w:val="20"/>
              </w:rPr>
            </w:pPr>
            <w:r>
              <w:rPr>
                <w:rFonts w:cs="Arial"/>
                <w:sz w:val="20"/>
                <w:szCs w:val="20"/>
              </w:rPr>
              <w:t>0.306</w:t>
            </w: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135" w:type="dxa"/>
            <w:noWrap/>
          </w:tcPr>
          <w:p w:rsidR="007124F0" w:rsidRPr="00265431" w:rsidRDefault="007124F0" w:rsidP="007124F0">
            <w:pPr>
              <w:jc w:val="center"/>
              <w:rPr>
                <w:rFonts w:cs="Arial"/>
                <w:sz w:val="20"/>
                <w:szCs w:val="20"/>
              </w:rPr>
            </w:pPr>
          </w:p>
        </w:tc>
        <w:tc>
          <w:tcPr>
            <w:tcW w:w="980" w:type="dxa"/>
            <w:noWrap/>
          </w:tcPr>
          <w:p w:rsidR="007124F0" w:rsidRPr="00265431" w:rsidRDefault="007124F0" w:rsidP="007124F0">
            <w:pPr>
              <w:jc w:val="center"/>
              <w:rPr>
                <w:rFonts w:cs="Arial"/>
                <w:sz w:val="20"/>
                <w:szCs w:val="20"/>
              </w:rPr>
            </w:pPr>
          </w:p>
        </w:tc>
      </w:tr>
      <w:tr w:rsidR="007124F0" w:rsidRPr="00265431" w:rsidTr="007124F0">
        <w:trPr>
          <w:trHeight w:val="264"/>
        </w:trPr>
        <w:tc>
          <w:tcPr>
            <w:tcW w:w="2528" w:type="dxa"/>
            <w:noWrap/>
            <w:vAlign w:val="bottom"/>
          </w:tcPr>
          <w:p w:rsidR="007124F0" w:rsidRPr="0085177E" w:rsidRDefault="007124F0" w:rsidP="007124F0">
            <w:pPr>
              <w:rPr>
                <w:rFonts w:cs="Arial"/>
                <w:i/>
                <w:sz w:val="20"/>
                <w:szCs w:val="20"/>
              </w:rPr>
            </w:pPr>
            <w:r>
              <w:rPr>
                <w:rFonts w:cs="Arial"/>
                <w:b/>
                <w:i/>
                <w:sz w:val="20"/>
                <w:szCs w:val="20"/>
              </w:rPr>
              <w:t xml:space="preserve">  </w:t>
            </w:r>
            <w:r>
              <w:rPr>
                <w:rFonts w:cs="Arial"/>
                <w:i/>
                <w:sz w:val="20"/>
                <w:szCs w:val="20"/>
              </w:rPr>
              <w:t>Firms with No CorporateDebt</w:t>
            </w:r>
          </w:p>
        </w:tc>
        <w:tc>
          <w:tcPr>
            <w:tcW w:w="1200" w:type="dxa"/>
            <w:noWrap/>
          </w:tcPr>
          <w:p w:rsidR="007124F0" w:rsidRDefault="007124F0" w:rsidP="007124F0">
            <w:pPr>
              <w:jc w:val="center"/>
              <w:rPr>
                <w:rFonts w:cs="Arial"/>
                <w:sz w:val="20"/>
                <w:szCs w:val="20"/>
              </w:rPr>
            </w:pPr>
          </w:p>
          <w:p w:rsidR="007124F0" w:rsidRDefault="007124F0" w:rsidP="007124F0">
            <w:pPr>
              <w:jc w:val="center"/>
              <w:rPr>
                <w:rFonts w:cs="Arial"/>
                <w:sz w:val="20"/>
                <w:szCs w:val="20"/>
              </w:rPr>
            </w:pPr>
            <w:r>
              <w:rPr>
                <w:rFonts w:cs="Arial"/>
                <w:sz w:val="20"/>
                <w:szCs w:val="20"/>
              </w:rPr>
              <w:t>0.377</w:t>
            </w: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135" w:type="dxa"/>
            <w:noWrap/>
          </w:tcPr>
          <w:p w:rsidR="007124F0" w:rsidRPr="00265431" w:rsidRDefault="007124F0" w:rsidP="007124F0">
            <w:pPr>
              <w:jc w:val="center"/>
              <w:rPr>
                <w:rFonts w:cs="Arial"/>
                <w:sz w:val="20"/>
                <w:szCs w:val="20"/>
              </w:rPr>
            </w:pPr>
          </w:p>
        </w:tc>
        <w:tc>
          <w:tcPr>
            <w:tcW w:w="980" w:type="dxa"/>
            <w:noWrap/>
          </w:tcPr>
          <w:p w:rsidR="007124F0" w:rsidRPr="00265431" w:rsidRDefault="007124F0" w:rsidP="007124F0">
            <w:pPr>
              <w:jc w:val="center"/>
              <w:rPr>
                <w:rFonts w:cs="Arial"/>
                <w:sz w:val="20"/>
                <w:szCs w:val="20"/>
              </w:rPr>
            </w:pPr>
          </w:p>
        </w:tc>
      </w:tr>
      <w:tr w:rsidR="007124F0" w:rsidRPr="00265431" w:rsidTr="007124F0">
        <w:trPr>
          <w:trHeight w:val="264"/>
        </w:trPr>
        <w:tc>
          <w:tcPr>
            <w:tcW w:w="2528" w:type="dxa"/>
            <w:noWrap/>
            <w:vAlign w:val="bottom"/>
          </w:tcPr>
          <w:p w:rsidR="007124F0" w:rsidRPr="00EE640B" w:rsidRDefault="007124F0" w:rsidP="007124F0">
            <w:pPr>
              <w:rPr>
                <w:rFonts w:cs="Arial"/>
                <w:i/>
                <w:sz w:val="20"/>
                <w:szCs w:val="20"/>
              </w:rPr>
            </w:pPr>
            <w:r>
              <w:rPr>
                <w:rFonts w:cs="Arial"/>
                <w:b/>
                <w:i/>
                <w:sz w:val="20"/>
                <w:szCs w:val="20"/>
              </w:rPr>
              <w:t xml:space="preserve">  </w:t>
            </w:r>
            <w:r>
              <w:rPr>
                <w:rFonts w:cs="Arial"/>
                <w:i/>
                <w:sz w:val="20"/>
                <w:szCs w:val="20"/>
              </w:rPr>
              <w:t>Firms with MortgageDebt but No CorporateDebt</w:t>
            </w:r>
          </w:p>
        </w:tc>
        <w:tc>
          <w:tcPr>
            <w:tcW w:w="1200" w:type="dxa"/>
            <w:noWrap/>
          </w:tcPr>
          <w:p w:rsidR="007124F0" w:rsidRDefault="007124F0" w:rsidP="007124F0">
            <w:pPr>
              <w:jc w:val="center"/>
              <w:rPr>
                <w:rFonts w:cs="Arial"/>
                <w:sz w:val="20"/>
                <w:szCs w:val="20"/>
              </w:rPr>
            </w:pPr>
          </w:p>
          <w:p w:rsidR="007124F0" w:rsidRDefault="007124F0" w:rsidP="007124F0">
            <w:pPr>
              <w:jc w:val="center"/>
              <w:rPr>
                <w:rFonts w:cs="Arial"/>
                <w:sz w:val="20"/>
                <w:szCs w:val="20"/>
              </w:rPr>
            </w:pPr>
            <w:r>
              <w:rPr>
                <w:rFonts w:cs="Arial"/>
                <w:sz w:val="20"/>
                <w:szCs w:val="20"/>
              </w:rPr>
              <w:t>0.377</w:t>
            </w: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200" w:type="dxa"/>
            <w:noWrap/>
          </w:tcPr>
          <w:p w:rsidR="007124F0" w:rsidRPr="00265431" w:rsidRDefault="007124F0" w:rsidP="007124F0">
            <w:pPr>
              <w:jc w:val="center"/>
              <w:rPr>
                <w:rFonts w:cs="Arial"/>
                <w:sz w:val="20"/>
                <w:szCs w:val="20"/>
              </w:rPr>
            </w:pPr>
          </w:p>
        </w:tc>
        <w:tc>
          <w:tcPr>
            <w:tcW w:w="1135" w:type="dxa"/>
            <w:noWrap/>
          </w:tcPr>
          <w:p w:rsidR="007124F0" w:rsidRPr="00265431" w:rsidRDefault="007124F0" w:rsidP="007124F0">
            <w:pPr>
              <w:jc w:val="center"/>
              <w:rPr>
                <w:rFonts w:cs="Arial"/>
                <w:sz w:val="20"/>
                <w:szCs w:val="20"/>
              </w:rPr>
            </w:pPr>
          </w:p>
        </w:tc>
        <w:tc>
          <w:tcPr>
            <w:tcW w:w="980" w:type="dxa"/>
            <w:noWrap/>
          </w:tcPr>
          <w:p w:rsidR="007124F0" w:rsidRPr="00265431" w:rsidRDefault="007124F0" w:rsidP="007124F0">
            <w:pPr>
              <w:jc w:val="center"/>
              <w:rPr>
                <w:rFonts w:cs="Arial"/>
                <w:sz w:val="20"/>
                <w:szCs w:val="20"/>
              </w:rPr>
            </w:pPr>
          </w:p>
        </w:tc>
      </w:tr>
      <w:tr w:rsidR="007124F0" w:rsidRPr="00265431" w:rsidTr="007124F0">
        <w:trPr>
          <w:trHeight w:val="264"/>
        </w:trPr>
        <w:tc>
          <w:tcPr>
            <w:tcW w:w="2528" w:type="dxa"/>
            <w:tcBorders>
              <w:bottom w:val="double" w:sz="4" w:space="0" w:color="auto"/>
            </w:tcBorders>
            <w:noWrap/>
            <w:vAlign w:val="bottom"/>
          </w:tcPr>
          <w:p w:rsidR="007124F0" w:rsidRPr="00EE640B" w:rsidRDefault="007124F0" w:rsidP="007124F0">
            <w:pPr>
              <w:rPr>
                <w:rFonts w:cs="Arial"/>
                <w:i/>
                <w:sz w:val="20"/>
                <w:szCs w:val="20"/>
              </w:rPr>
            </w:pPr>
            <w:r>
              <w:rPr>
                <w:rFonts w:cs="Arial"/>
                <w:b/>
                <w:i/>
                <w:sz w:val="20"/>
                <w:szCs w:val="20"/>
              </w:rPr>
              <w:t xml:space="preserve">  </w:t>
            </w:r>
            <w:r>
              <w:rPr>
                <w:rFonts w:cs="Arial"/>
                <w:i/>
                <w:sz w:val="20"/>
                <w:szCs w:val="20"/>
              </w:rPr>
              <w:t>Firms with CorporateDebt but No MortgageDebt</w:t>
            </w:r>
          </w:p>
        </w:tc>
        <w:tc>
          <w:tcPr>
            <w:tcW w:w="1200" w:type="dxa"/>
            <w:tcBorders>
              <w:bottom w:val="double" w:sz="4" w:space="0" w:color="auto"/>
            </w:tcBorders>
            <w:noWrap/>
          </w:tcPr>
          <w:p w:rsidR="007124F0" w:rsidRDefault="007124F0" w:rsidP="007124F0">
            <w:pPr>
              <w:jc w:val="center"/>
              <w:rPr>
                <w:rFonts w:cs="Arial"/>
                <w:sz w:val="20"/>
                <w:szCs w:val="20"/>
              </w:rPr>
            </w:pPr>
          </w:p>
          <w:p w:rsidR="007124F0" w:rsidRDefault="007124F0" w:rsidP="007124F0">
            <w:pPr>
              <w:jc w:val="center"/>
              <w:rPr>
                <w:rFonts w:cs="Arial"/>
                <w:sz w:val="20"/>
                <w:szCs w:val="20"/>
              </w:rPr>
            </w:pPr>
            <w:r>
              <w:rPr>
                <w:rFonts w:cs="Arial"/>
                <w:sz w:val="20"/>
                <w:szCs w:val="20"/>
              </w:rPr>
              <w:t>0.023</w:t>
            </w:r>
          </w:p>
        </w:tc>
        <w:tc>
          <w:tcPr>
            <w:tcW w:w="1200" w:type="dxa"/>
            <w:tcBorders>
              <w:bottom w:val="double" w:sz="4" w:space="0" w:color="auto"/>
            </w:tcBorders>
            <w:noWrap/>
          </w:tcPr>
          <w:p w:rsidR="007124F0" w:rsidRPr="00265431" w:rsidRDefault="007124F0" w:rsidP="007124F0">
            <w:pPr>
              <w:jc w:val="center"/>
              <w:rPr>
                <w:rFonts w:cs="Arial"/>
                <w:sz w:val="20"/>
                <w:szCs w:val="20"/>
              </w:rPr>
            </w:pPr>
          </w:p>
        </w:tc>
        <w:tc>
          <w:tcPr>
            <w:tcW w:w="1200" w:type="dxa"/>
            <w:tcBorders>
              <w:bottom w:val="double" w:sz="4" w:space="0" w:color="auto"/>
            </w:tcBorders>
            <w:noWrap/>
          </w:tcPr>
          <w:p w:rsidR="007124F0" w:rsidRPr="00265431" w:rsidRDefault="007124F0" w:rsidP="007124F0">
            <w:pPr>
              <w:jc w:val="center"/>
              <w:rPr>
                <w:rFonts w:cs="Arial"/>
                <w:sz w:val="20"/>
                <w:szCs w:val="20"/>
              </w:rPr>
            </w:pPr>
          </w:p>
        </w:tc>
        <w:tc>
          <w:tcPr>
            <w:tcW w:w="1200" w:type="dxa"/>
            <w:tcBorders>
              <w:bottom w:val="double" w:sz="4" w:space="0" w:color="auto"/>
            </w:tcBorders>
            <w:noWrap/>
          </w:tcPr>
          <w:p w:rsidR="007124F0" w:rsidRPr="00265431" w:rsidRDefault="007124F0" w:rsidP="007124F0">
            <w:pPr>
              <w:jc w:val="center"/>
              <w:rPr>
                <w:rFonts w:cs="Arial"/>
                <w:sz w:val="20"/>
                <w:szCs w:val="20"/>
              </w:rPr>
            </w:pPr>
          </w:p>
        </w:tc>
        <w:tc>
          <w:tcPr>
            <w:tcW w:w="1135" w:type="dxa"/>
            <w:tcBorders>
              <w:bottom w:val="double" w:sz="4" w:space="0" w:color="auto"/>
            </w:tcBorders>
            <w:noWrap/>
          </w:tcPr>
          <w:p w:rsidR="007124F0" w:rsidRPr="00265431" w:rsidRDefault="007124F0" w:rsidP="007124F0">
            <w:pPr>
              <w:jc w:val="center"/>
              <w:rPr>
                <w:rFonts w:cs="Arial"/>
                <w:sz w:val="20"/>
                <w:szCs w:val="20"/>
              </w:rPr>
            </w:pPr>
          </w:p>
        </w:tc>
        <w:tc>
          <w:tcPr>
            <w:tcW w:w="980" w:type="dxa"/>
            <w:tcBorders>
              <w:bottom w:val="double" w:sz="4" w:space="0" w:color="auto"/>
            </w:tcBorders>
            <w:noWrap/>
          </w:tcPr>
          <w:p w:rsidR="007124F0" w:rsidRPr="00265431" w:rsidRDefault="007124F0" w:rsidP="007124F0">
            <w:pPr>
              <w:jc w:val="center"/>
              <w:rPr>
                <w:rFonts w:cs="Arial"/>
                <w:sz w:val="20"/>
                <w:szCs w:val="20"/>
              </w:rPr>
            </w:pPr>
          </w:p>
        </w:tc>
      </w:tr>
    </w:tbl>
    <w:p w:rsidR="007124F0" w:rsidRPr="00782D51" w:rsidRDefault="007124F0" w:rsidP="007124F0">
      <w:pPr>
        <w:jc w:val="both"/>
      </w:pPr>
    </w:p>
    <w:p w:rsidR="007124F0" w:rsidRPr="007A3F94" w:rsidRDefault="007124F0" w:rsidP="007124F0">
      <w:pPr>
        <w:jc w:val="both"/>
      </w:pPr>
      <w:r>
        <w:br w:type="page"/>
      </w:r>
      <w:r w:rsidRPr="007A3F94">
        <w:lastRenderedPageBreak/>
        <w:t>Table 8 – Descriptive Statistics for</w:t>
      </w:r>
      <w:r w:rsidR="007A3F94" w:rsidRPr="007A3F94">
        <w:t xml:space="preserve"> Treated and Control Firms</w:t>
      </w:r>
    </w:p>
    <w:p w:rsidR="007124F0" w:rsidRPr="00FD4A39" w:rsidRDefault="007124F0" w:rsidP="007124F0">
      <w:pPr>
        <w:rPr>
          <w:sz w:val="22"/>
          <w:szCs w:val="22"/>
        </w:rPr>
      </w:pPr>
    </w:p>
    <w:p w:rsidR="007124F0" w:rsidRDefault="007124F0" w:rsidP="007124F0">
      <w:pPr>
        <w:jc w:val="both"/>
        <w:rPr>
          <w:sz w:val="22"/>
          <w:szCs w:val="22"/>
        </w:rPr>
      </w:pPr>
      <w:r w:rsidRPr="00FD4A39">
        <w:rPr>
          <w:sz w:val="22"/>
          <w:szCs w:val="22"/>
        </w:rPr>
        <w:t>This table reports descriptive statistics for treated and control sample</w:t>
      </w:r>
      <w:r>
        <w:rPr>
          <w:sz w:val="22"/>
          <w:szCs w:val="22"/>
        </w:rPr>
        <w:t>s</w:t>
      </w:r>
      <w:r w:rsidRPr="00FD4A39">
        <w:rPr>
          <w:sz w:val="22"/>
          <w:szCs w:val="22"/>
        </w:rPr>
        <w:t xml:space="preserve">. Each treated </w:t>
      </w:r>
      <w:r>
        <w:rPr>
          <w:sz w:val="22"/>
          <w:szCs w:val="22"/>
        </w:rPr>
        <w:t>firm</w:t>
      </w:r>
      <w:r w:rsidRPr="00FD4A39">
        <w:rPr>
          <w:sz w:val="22"/>
          <w:szCs w:val="22"/>
        </w:rPr>
        <w:t xml:space="preserve"> is matched with </w:t>
      </w:r>
      <w:r>
        <w:rPr>
          <w:sz w:val="22"/>
          <w:szCs w:val="22"/>
        </w:rPr>
        <w:t>two</w:t>
      </w:r>
      <w:r w:rsidRPr="00FD4A39">
        <w:rPr>
          <w:sz w:val="22"/>
          <w:szCs w:val="22"/>
        </w:rPr>
        <w:t xml:space="preserve"> control </w:t>
      </w:r>
      <w:r>
        <w:rPr>
          <w:sz w:val="22"/>
          <w:szCs w:val="22"/>
        </w:rPr>
        <w:t>firms</w:t>
      </w:r>
      <w:r w:rsidRPr="00FD4A39">
        <w:rPr>
          <w:sz w:val="22"/>
          <w:szCs w:val="22"/>
        </w:rPr>
        <w:t xml:space="preserve"> identified as the closest matches based on </w:t>
      </w:r>
      <w:r>
        <w:rPr>
          <w:i/>
          <w:sz w:val="22"/>
          <w:szCs w:val="22"/>
        </w:rPr>
        <w:t>q</w:t>
      </w:r>
      <w:r w:rsidRPr="00FD4A39">
        <w:rPr>
          <w:sz w:val="22"/>
          <w:szCs w:val="22"/>
        </w:rPr>
        <w:t>, size, profita</w:t>
      </w:r>
      <w:r>
        <w:rPr>
          <w:sz w:val="22"/>
          <w:szCs w:val="22"/>
        </w:rPr>
        <w:t>bility, earnings volatility,</w:t>
      </w:r>
      <w:r w:rsidRPr="00FD4A39">
        <w:rPr>
          <w:sz w:val="22"/>
          <w:szCs w:val="22"/>
        </w:rPr>
        <w:t xml:space="preserve"> age</w:t>
      </w:r>
      <w:r>
        <w:rPr>
          <w:sz w:val="22"/>
          <w:szCs w:val="22"/>
        </w:rPr>
        <w:t>, and industry segment</w:t>
      </w:r>
      <w:r w:rsidRPr="00FD4A39">
        <w:rPr>
          <w:sz w:val="22"/>
          <w:szCs w:val="22"/>
        </w:rPr>
        <w:t xml:space="preserve"> using the Abadia-Imbens matching estimator technique. </w:t>
      </w:r>
      <w:r>
        <w:rPr>
          <w:sz w:val="22"/>
          <w:szCs w:val="22"/>
        </w:rPr>
        <w:t>Refer to Table 4 for details on sample construction and variable definitions.</w:t>
      </w:r>
      <w:r w:rsidRPr="00FD4A39">
        <w:rPr>
          <w:sz w:val="22"/>
          <w:szCs w:val="22"/>
        </w:rPr>
        <w:t xml:space="preserve"> </w:t>
      </w:r>
    </w:p>
    <w:tbl>
      <w:tblPr>
        <w:tblW w:w="9468" w:type="dxa"/>
        <w:tblLook w:val="0000"/>
      </w:tblPr>
      <w:tblGrid>
        <w:gridCol w:w="1988"/>
        <w:gridCol w:w="1260"/>
        <w:gridCol w:w="1080"/>
        <w:gridCol w:w="1260"/>
        <w:gridCol w:w="1260"/>
        <w:gridCol w:w="1260"/>
        <w:gridCol w:w="1360"/>
      </w:tblGrid>
      <w:tr w:rsidR="007124F0" w:rsidRPr="00FD4A39" w:rsidTr="007124F0">
        <w:trPr>
          <w:trHeight w:val="264"/>
        </w:trPr>
        <w:tc>
          <w:tcPr>
            <w:tcW w:w="1988"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c>
          <w:tcPr>
            <w:tcW w:w="1260"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c>
          <w:tcPr>
            <w:tcW w:w="1080"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c>
          <w:tcPr>
            <w:tcW w:w="1260"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c>
          <w:tcPr>
            <w:tcW w:w="1260"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c>
          <w:tcPr>
            <w:tcW w:w="1260"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c>
          <w:tcPr>
            <w:tcW w:w="1360" w:type="dxa"/>
            <w:tcBorders>
              <w:top w:val="nil"/>
              <w:left w:val="nil"/>
              <w:bottom w:val="double" w:sz="4" w:space="0" w:color="auto"/>
              <w:right w:val="nil"/>
            </w:tcBorders>
            <w:noWrap/>
            <w:vAlign w:val="bottom"/>
          </w:tcPr>
          <w:p w:rsidR="007124F0" w:rsidRPr="00FD4A39" w:rsidRDefault="007124F0" w:rsidP="007124F0">
            <w:pPr>
              <w:rPr>
                <w:rFonts w:cs="Arial"/>
                <w:sz w:val="22"/>
                <w:szCs w:val="22"/>
              </w:rPr>
            </w:pPr>
          </w:p>
        </w:tc>
      </w:tr>
      <w:tr w:rsidR="007124F0" w:rsidRPr="00FD4A39" w:rsidTr="007124F0">
        <w:trPr>
          <w:trHeight w:val="264"/>
        </w:trPr>
        <w:tc>
          <w:tcPr>
            <w:tcW w:w="1988" w:type="dxa"/>
            <w:tcBorders>
              <w:top w:val="double" w:sz="4" w:space="0" w:color="auto"/>
            </w:tcBorders>
            <w:noWrap/>
            <w:vAlign w:val="bottom"/>
          </w:tcPr>
          <w:p w:rsidR="007124F0" w:rsidRPr="00FD4A39" w:rsidRDefault="007124F0" w:rsidP="007124F0">
            <w:pPr>
              <w:jc w:val="center"/>
              <w:rPr>
                <w:rFonts w:cs="Arial"/>
                <w:sz w:val="22"/>
                <w:szCs w:val="22"/>
              </w:rPr>
            </w:pPr>
          </w:p>
          <w:p w:rsidR="007124F0" w:rsidRPr="00FD4A39" w:rsidRDefault="007124F0" w:rsidP="007124F0">
            <w:pPr>
              <w:jc w:val="center"/>
              <w:rPr>
                <w:rFonts w:cs="Arial"/>
                <w:sz w:val="22"/>
                <w:szCs w:val="22"/>
              </w:rPr>
            </w:pPr>
            <w:r w:rsidRPr="00FD4A39">
              <w:rPr>
                <w:rFonts w:cs="Arial"/>
                <w:sz w:val="22"/>
                <w:szCs w:val="22"/>
              </w:rPr>
              <w:t>Matching Variables</w:t>
            </w:r>
          </w:p>
        </w:tc>
        <w:tc>
          <w:tcPr>
            <w:tcW w:w="1260" w:type="dxa"/>
            <w:tcBorders>
              <w:top w:val="double" w:sz="4" w:space="0" w:color="auto"/>
            </w:tcBorders>
            <w:noWrap/>
            <w:vAlign w:val="bottom"/>
          </w:tcPr>
          <w:p w:rsidR="007124F0" w:rsidRPr="00FD4A39" w:rsidRDefault="007124F0" w:rsidP="007124F0">
            <w:pPr>
              <w:jc w:val="center"/>
              <w:rPr>
                <w:rFonts w:cs="Arial"/>
                <w:sz w:val="22"/>
                <w:szCs w:val="22"/>
              </w:rPr>
            </w:pPr>
          </w:p>
        </w:tc>
        <w:tc>
          <w:tcPr>
            <w:tcW w:w="1080" w:type="dxa"/>
            <w:tcBorders>
              <w:top w:val="double" w:sz="4" w:space="0" w:color="auto"/>
            </w:tcBorders>
            <w:noWrap/>
            <w:vAlign w:val="bottom"/>
          </w:tcPr>
          <w:p w:rsidR="007124F0" w:rsidRPr="00FD4A39" w:rsidRDefault="007124F0" w:rsidP="007124F0">
            <w:pPr>
              <w:jc w:val="center"/>
              <w:rPr>
                <w:rFonts w:cs="Arial"/>
                <w:sz w:val="22"/>
                <w:szCs w:val="22"/>
              </w:rPr>
            </w:pPr>
          </w:p>
        </w:tc>
        <w:tc>
          <w:tcPr>
            <w:tcW w:w="2520" w:type="dxa"/>
            <w:gridSpan w:val="2"/>
            <w:tcBorders>
              <w:top w:val="doub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Sample Statistics</w:t>
            </w:r>
          </w:p>
        </w:tc>
        <w:tc>
          <w:tcPr>
            <w:tcW w:w="1260" w:type="dxa"/>
            <w:tcBorders>
              <w:top w:val="double" w:sz="4" w:space="0" w:color="auto"/>
            </w:tcBorders>
            <w:noWrap/>
            <w:vAlign w:val="bottom"/>
          </w:tcPr>
          <w:p w:rsidR="007124F0" w:rsidRPr="00FD4A39" w:rsidRDefault="007124F0" w:rsidP="007124F0">
            <w:pPr>
              <w:jc w:val="center"/>
              <w:rPr>
                <w:rFonts w:cs="Arial"/>
                <w:sz w:val="22"/>
                <w:szCs w:val="22"/>
              </w:rPr>
            </w:pPr>
          </w:p>
        </w:tc>
        <w:tc>
          <w:tcPr>
            <w:tcW w:w="1360" w:type="dxa"/>
            <w:tcBorders>
              <w:top w:val="double" w:sz="4" w:space="0" w:color="auto"/>
            </w:tcBorders>
            <w:noWrap/>
            <w:vAlign w:val="bottom"/>
          </w:tcPr>
          <w:p w:rsidR="007124F0" w:rsidRPr="00FD4A39" w:rsidRDefault="007124F0" w:rsidP="007124F0">
            <w:pPr>
              <w:jc w:val="center"/>
              <w:rPr>
                <w:rFonts w:cs="Arial"/>
                <w:sz w:val="22"/>
                <w:szCs w:val="22"/>
              </w:rPr>
            </w:pPr>
          </w:p>
        </w:tc>
      </w:tr>
      <w:tr w:rsidR="007124F0" w:rsidRPr="00FD4A39" w:rsidTr="007124F0">
        <w:trPr>
          <w:trHeight w:val="264"/>
        </w:trPr>
        <w:tc>
          <w:tcPr>
            <w:tcW w:w="1988" w:type="dxa"/>
            <w:tcBorders>
              <w:bottom w:val="single" w:sz="4" w:space="0" w:color="auto"/>
            </w:tcBorders>
            <w:noWrap/>
            <w:vAlign w:val="bottom"/>
          </w:tcPr>
          <w:p w:rsidR="007124F0" w:rsidRPr="00FD4A39" w:rsidRDefault="007124F0" w:rsidP="007124F0">
            <w:pPr>
              <w:jc w:val="center"/>
              <w:rPr>
                <w:rFonts w:cs="Arial"/>
                <w:sz w:val="22"/>
                <w:szCs w:val="22"/>
              </w:rPr>
            </w:pPr>
          </w:p>
        </w:tc>
        <w:tc>
          <w:tcPr>
            <w:tcW w:w="1260" w:type="dxa"/>
            <w:tcBorders>
              <w:bottom w:val="single" w:sz="4" w:space="0" w:color="auto"/>
            </w:tcBorders>
            <w:noWrap/>
            <w:vAlign w:val="bottom"/>
          </w:tcPr>
          <w:p w:rsidR="007124F0" w:rsidRPr="00FD4A39" w:rsidRDefault="007124F0" w:rsidP="007124F0">
            <w:pPr>
              <w:jc w:val="center"/>
              <w:rPr>
                <w:rFonts w:cs="Arial"/>
                <w:sz w:val="22"/>
                <w:szCs w:val="22"/>
              </w:rPr>
            </w:pPr>
          </w:p>
        </w:tc>
        <w:tc>
          <w:tcPr>
            <w:tcW w:w="1080" w:type="dxa"/>
            <w:tcBorders>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Mean</w:t>
            </w:r>
          </w:p>
        </w:tc>
        <w:tc>
          <w:tcPr>
            <w:tcW w:w="1260" w:type="dxa"/>
            <w:tcBorders>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Median</w:t>
            </w:r>
          </w:p>
        </w:tc>
        <w:tc>
          <w:tcPr>
            <w:tcW w:w="1260" w:type="dxa"/>
            <w:tcBorders>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St. Dev.</w:t>
            </w:r>
          </w:p>
        </w:tc>
        <w:tc>
          <w:tcPr>
            <w:tcW w:w="1260" w:type="dxa"/>
            <w:tcBorders>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25th Pct.</w:t>
            </w:r>
          </w:p>
        </w:tc>
        <w:tc>
          <w:tcPr>
            <w:tcW w:w="1360" w:type="dxa"/>
            <w:tcBorders>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75th Pct.</w:t>
            </w:r>
          </w:p>
        </w:tc>
      </w:tr>
      <w:tr w:rsidR="007124F0" w:rsidRPr="00FD4A39" w:rsidTr="007124F0">
        <w:trPr>
          <w:trHeight w:val="264"/>
        </w:trPr>
        <w:tc>
          <w:tcPr>
            <w:tcW w:w="1988" w:type="dxa"/>
            <w:tcBorders>
              <w:top w:val="single" w:sz="4" w:space="0" w:color="auto"/>
            </w:tcBorders>
            <w:noWrap/>
            <w:vAlign w:val="bottom"/>
          </w:tcPr>
          <w:p w:rsidR="007124F0" w:rsidRPr="00FD4A39" w:rsidRDefault="007124F0" w:rsidP="007124F0">
            <w:pPr>
              <w:rPr>
                <w:rFonts w:cs="Arial"/>
                <w:i/>
                <w:sz w:val="22"/>
                <w:szCs w:val="22"/>
              </w:rPr>
            </w:pPr>
            <w:r>
              <w:rPr>
                <w:rFonts w:cs="Arial"/>
                <w:i/>
                <w:sz w:val="22"/>
                <w:szCs w:val="22"/>
              </w:rPr>
              <w:t>q</w:t>
            </w:r>
          </w:p>
        </w:tc>
        <w:tc>
          <w:tcPr>
            <w:tcW w:w="1260" w:type="dxa"/>
            <w:tcBorders>
              <w:top w:val="single" w:sz="4" w:space="0" w:color="auto"/>
            </w:tcBorders>
            <w:noWrap/>
            <w:vAlign w:val="bottom"/>
          </w:tcPr>
          <w:p w:rsidR="007124F0" w:rsidRPr="00FD4A39" w:rsidRDefault="007124F0" w:rsidP="007124F0">
            <w:pPr>
              <w:rPr>
                <w:rFonts w:cs="Arial"/>
                <w:sz w:val="22"/>
                <w:szCs w:val="22"/>
              </w:rPr>
            </w:pPr>
            <w:r w:rsidRPr="00FD4A39">
              <w:rPr>
                <w:rFonts w:cs="Arial"/>
                <w:sz w:val="22"/>
                <w:szCs w:val="22"/>
              </w:rPr>
              <w:t>Treated</w:t>
            </w:r>
          </w:p>
        </w:tc>
        <w:tc>
          <w:tcPr>
            <w:tcW w:w="1080" w:type="dxa"/>
            <w:tcBorders>
              <w:top w:val="single" w:sz="4" w:space="0" w:color="auto"/>
            </w:tcBorders>
            <w:noWrap/>
            <w:vAlign w:val="bottom"/>
          </w:tcPr>
          <w:p w:rsidR="007124F0" w:rsidRPr="00B11E8F" w:rsidRDefault="007124F0" w:rsidP="007124F0">
            <w:pPr>
              <w:jc w:val="center"/>
              <w:rPr>
                <w:sz w:val="22"/>
                <w:szCs w:val="22"/>
              </w:rPr>
            </w:pPr>
            <w:r w:rsidRPr="00B11E8F">
              <w:rPr>
                <w:sz w:val="22"/>
                <w:szCs w:val="22"/>
              </w:rPr>
              <w:t>1.224</w:t>
            </w:r>
          </w:p>
        </w:tc>
        <w:tc>
          <w:tcPr>
            <w:tcW w:w="1260" w:type="dxa"/>
            <w:tcBorders>
              <w:top w:val="single" w:sz="4" w:space="0" w:color="auto"/>
            </w:tcBorders>
            <w:noWrap/>
            <w:vAlign w:val="bottom"/>
          </w:tcPr>
          <w:p w:rsidR="007124F0" w:rsidRPr="00B11E8F" w:rsidRDefault="007124F0" w:rsidP="007124F0">
            <w:pPr>
              <w:jc w:val="center"/>
              <w:rPr>
                <w:sz w:val="22"/>
                <w:szCs w:val="22"/>
              </w:rPr>
            </w:pPr>
            <w:r w:rsidRPr="00B11E8F">
              <w:rPr>
                <w:sz w:val="22"/>
                <w:szCs w:val="22"/>
              </w:rPr>
              <w:t>1.195</w:t>
            </w:r>
          </w:p>
        </w:tc>
        <w:tc>
          <w:tcPr>
            <w:tcW w:w="1260" w:type="dxa"/>
            <w:tcBorders>
              <w:top w:val="single" w:sz="4" w:space="0" w:color="auto"/>
            </w:tcBorders>
            <w:noWrap/>
            <w:vAlign w:val="bottom"/>
          </w:tcPr>
          <w:p w:rsidR="007124F0" w:rsidRPr="00B11E8F" w:rsidRDefault="007124F0" w:rsidP="007124F0">
            <w:pPr>
              <w:jc w:val="center"/>
              <w:rPr>
                <w:sz w:val="22"/>
                <w:szCs w:val="22"/>
              </w:rPr>
            </w:pPr>
            <w:r w:rsidRPr="00B11E8F">
              <w:rPr>
                <w:sz w:val="22"/>
                <w:szCs w:val="22"/>
              </w:rPr>
              <w:t>0.239</w:t>
            </w:r>
          </w:p>
        </w:tc>
        <w:tc>
          <w:tcPr>
            <w:tcW w:w="1260" w:type="dxa"/>
            <w:tcBorders>
              <w:top w:val="single" w:sz="4" w:space="0" w:color="auto"/>
            </w:tcBorders>
            <w:noWrap/>
            <w:vAlign w:val="bottom"/>
          </w:tcPr>
          <w:p w:rsidR="007124F0" w:rsidRPr="00B11E8F" w:rsidRDefault="007124F0" w:rsidP="007124F0">
            <w:pPr>
              <w:jc w:val="center"/>
              <w:rPr>
                <w:sz w:val="22"/>
                <w:szCs w:val="22"/>
              </w:rPr>
            </w:pPr>
            <w:r w:rsidRPr="00B11E8F">
              <w:rPr>
                <w:sz w:val="22"/>
                <w:szCs w:val="22"/>
              </w:rPr>
              <w:t>1.089</w:t>
            </w:r>
          </w:p>
        </w:tc>
        <w:tc>
          <w:tcPr>
            <w:tcW w:w="1360" w:type="dxa"/>
            <w:tcBorders>
              <w:top w:val="single" w:sz="4" w:space="0" w:color="auto"/>
            </w:tcBorders>
            <w:noWrap/>
            <w:vAlign w:val="bottom"/>
          </w:tcPr>
          <w:p w:rsidR="007124F0" w:rsidRPr="00B11E8F" w:rsidRDefault="007124F0" w:rsidP="007124F0">
            <w:pPr>
              <w:jc w:val="center"/>
              <w:rPr>
                <w:sz w:val="22"/>
                <w:szCs w:val="22"/>
              </w:rPr>
            </w:pPr>
            <w:r w:rsidRPr="00B11E8F">
              <w:rPr>
                <w:sz w:val="22"/>
                <w:szCs w:val="22"/>
              </w:rPr>
              <w:t>1.336</w:t>
            </w:r>
          </w:p>
        </w:tc>
      </w:tr>
      <w:tr w:rsidR="007124F0" w:rsidRPr="00FD4A39" w:rsidTr="007124F0">
        <w:trPr>
          <w:trHeight w:val="264"/>
        </w:trPr>
        <w:tc>
          <w:tcPr>
            <w:tcW w:w="1988" w:type="dxa"/>
            <w:noWrap/>
          </w:tcPr>
          <w:p w:rsidR="007124F0" w:rsidRPr="00FD4A39" w:rsidRDefault="007124F0" w:rsidP="007124F0">
            <w:pPr>
              <w:jc w:val="center"/>
              <w:rPr>
                <w:rFonts w:cs="Arial"/>
                <w:i/>
                <w:sz w:val="22"/>
                <w:szCs w:val="22"/>
              </w:rPr>
            </w:pPr>
          </w:p>
        </w:tc>
        <w:tc>
          <w:tcPr>
            <w:tcW w:w="1260" w:type="dxa"/>
            <w:noWrap/>
          </w:tcPr>
          <w:p w:rsidR="007124F0" w:rsidRPr="00FD4A39" w:rsidRDefault="007124F0" w:rsidP="007124F0">
            <w:pPr>
              <w:rPr>
                <w:rFonts w:cs="Arial"/>
                <w:sz w:val="22"/>
                <w:szCs w:val="22"/>
              </w:rPr>
            </w:pPr>
            <w:r w:rsidRPr="00FD4A39">
              <w:rPr>
                <w:rFonts w:cs="Arial"/>
                <w:sz w:val="22"/>
                <w:szCs w:val="22"/>
              </w:rPr>
              <w:t>Control</w:t>
            </w:r>
          </w:p>
        </w:tc>
        <w:tc>
          <w:tcPr>
            <w:tcW w:w="1080" w:type="dxa"/>
            <w:noWrap/>
            <w:vAlign w:val="bottom"/>
          </w:tcPr>
          <w:p w:rsidR="007124F0" w:rsidRPr="00B11E8F" w:rsidRDefault="007124F0" w:rsidP="007124F0">
            <w:pPr>
              <w:jc w:val="center"/>
              <w:rPr>
                <w:sz w:val="22"/>
                <w:szCs w:val="22"/>
              </w:rPr>
            </w:pPr>
            <w:r w:rsidRPr="00B11E8F">
              <w:rPr>
                <w:sz w:val="22"/>
                <w:szCs w:val="22"/>
              </w:rPr>
              <w:t>1.252</w:t>
            </w:r>
          </w:p>
        </w:tc>
        <w:tc>
          <w:tcPr>
            <w:tcW w:w="1260" w:type="dxa"/>
            <w:noWrap/>
            <w:vAlign w:val="bottom"/>
          </w:tcPr>
          <w:p w:rsidR="007124F0" w:rsidRPr="00B11E8F" w:rsidRDefault="007124F0" w:rsidP="007124F0">
            <w:pPr>
              <w:jc w:val="center"/>
              <w:rPr>
                <w:sz w:val="22"/>
                <w:szCs w:val="22"/>
              </w:rPr>
            </w:pPr>
            <w:r w:rsidRPr="00B11E8F">
              <w:rPr>
                <w:sz w:val="22"/>
                <w:szCs w:val="22"/>
              </w:rPr>
              <w:t>1.222</w:t>
            </w:r>
          </w:p>
        </w:tc>
        <w:tc>
          <w:tcPr>
            <w:tcW w:w="1260" w:type="dxa"/>
            <w:noWrap/>
            <w:vAlign w:val="bottom"/>
          </w:tcPr>
          <w:p w:rsidR="007124F0" w:rsidRPr="00B11E8F" w:rsidRDefault="007124F0" w:rsidP="007124F0">
            <w:pPr>
              <w:jc w:val="center"/>
              <w:rPr>
                <w:sz w:val="22"/>
                <w:szCs w:val="22"/>
              </w:rPr>
            </w:pPr>
            <w:r w:rsidRPr="00B11E8F">
              <w:rPr>
                <w:sz w:val="22"/>
                <w:szCs w:val="22"/>
              </w:rPr>
              <w:t>0.278</w:t>
            </w:r>
          </w:p>
        </w:tc>
        <w:tc>
          <w:tcPr>
            <w:tcW w:w="1260" w:type="dxa"/>
            <w:noWrap/>
            <w:vAlign w:val="bottom"/>
          </w:tcPr>
          <w:p w:rsidR="007124F0" w:rsidRPr="00B11E8F" w:rsidRDefault="007124F0" w:rsidP="007124F0">
            <w:pPr>
              <w:jc w:val="center"/>
              <w:rPr>
                <w:sz w:val="22"/>
                <w:szCs w:val="22"/>
              </w:rPr>
            </w:pPr>
            <w:r w:rsidRPr="00B11E8F">
              <w:rPr>
                <w:sz w:val="22"/>
                <w:szCs w:val="22"/>
              </w:rPr>
              <w:t>1.109</w:t>
            </w:r>
          </w:p>
        </w:tc>
        <w:tc>
          <w:tcPr>
            <w:tcW w:w="1360" w:type="dxa"/>
            <w:noWrap/>
            <w:vAlign w:val="bottom"/>
          </w:tcPr>
          <w:p w:rsidR="007124F0" w:rsidRPr="00B11E8F" w:rsidRDefault="007124F0" w:rsidP="007124F0">
            <w:pPr>
              <w:jc w:val="center"/>
              <w:rPr>
                <w:sz w:val="22"/>
                <w:szCs w:val="22"/>
              </w:rPr>
            </w:pPr>
            <w:r w:rsidRPr="00B11E8F">
              <w:rPr>
                <w:sz w:val="22"/>
                <w:szCs w:val="22"/>
              </w:rPr>
              <w:t>1.377</w:t>
            </w: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p>
        </w:tc>
        <w:tc>
          <w:tcPr>
            <w:tcW w:w="1260" w:type="dxa"/>
            <w:noWrap/>
            <w:vAlign w:val="bottom"/>
          </w:tcPr>
          <w:p w:rsidR="007124F0" w:rsidRPr="00FD4A39" w:rsidRDefault="007124F0" w:rsidP="007124F0">
            <w:pPr>
              <w:rPr>
                <w:rFonts w:cs="Arial"/>
                <w:sz w:val="22"/>
                <w:szCs w:val="22"/>
              </w:rPr>
            </w:pPr>
          </w:p>
        </w:tc>
        <w:tc>
          <w:tcPr>
            <w:tcW w:w="108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360" w:type="dxa"/>
            <w:noWrap/>
            <w:vAlign w:val="bottom"/>
          </w:tcPr>
          <w:p w:rsidR="007124F0" w:rsidRPr="00B11E8F" w:rsidRDefault="007124F0" w:rsidP="007124F0">
            <w:pPr>
              <w:jc w:val="center"/>
              <w:rPr>
                <w:sz w:val="22"/>
                <w:szCs w:val="22"/>
              </w:rPr>
            </w:pP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r w:rsidRPr="00FD4A39">
              <w:rPr>
                <w:rFonts w:cs="Arial"/>
                <w:i/>
                <w:sz w:val="22"/>
                <w:szCs w:val="22"/>
              </w:rPr>
              <w:t xml:space="preserve">Size </w:t>
            </w:r>
            <w:r w:rsidRPr="00FD4A39">
              <w:rPr>
                <w:rFonts w:cs="Arial"/>
                <w:sz w:val="22"/>
                <w:szCs w:val="22"/>
              </w:rPr>
              <w:t>($Billion)</w:t>
            </w:r>
          </w:p>
        </w:tc>
        <w:tc>
          <w:tcPr>
            <w:tcW w:w="1260" w:type="dxa"/>
            <w:noWrap/>
            <w:vAlign w:val="bottom"/>
          </w:tcPr>
          <w:p w:rsidR="007124F0" w:rsidRPr="00FD4A39" w:rsidRDefault="007124F0" w:rsidP="007124F0">
            <w:pPr>
              <w:rPr>
                <w:rFonts w:cs="Arial"/>
                <w:sz w:val="22"/>
                <w:szCs w:val="22"/>
              </w:rPr>
            </w:pPr>
            <w:r w:rsidRPr="00FD4A39">
              <w:rPr>
                <w:rFonts w:cs="Arial"/>
                <w:sz w:val="22"/>
                <w:szCs w:val="22"/>
              </w:rPr>
              <w:t>Treated</w:t>
            </w:r>
          </w:p>
        </w:tc>
        <w:tc>
          <w:tcPr>
            <w:tcW w:w="1080" w:type="dxa"/>
            <w:noWrap/>
            <w:vAlign w:val="bottom"/>
          </w:tcPr>
          <w:p w:rsidR="007124F0" w:rsidRPr="00B11E8F" w:rsidRDefault="007124F0" w:rsidP="007124F0">
            <w:pPr>
              <w:jc w:val="center"/>
              <w:rPr>
                <w:sz w:val="22"/>
                <w:szCs w:val="22"/>
              </w:rPr>
            </w:pPr>
            <w:r w:rsidRPr="00B11E8F">
              <w:rPr>
                <w:sz w:val="22"/>
                <w:szCs w:val="22"/>
              </w:rPr>
              <w:t>1.988</w:t>
            </w:r>
          </w:p>
        </w:tc>
        <w:tc>
          <w:tcPr>
            <w:tcW w:w="1260" w:type="dxa"/>
            <w:noWrap/>
            <w:vAlign w:val="bottom"/>
          </w:tcPr>
          <w:p w:rsidR="007124F0" w:rsidRPr="00B11E8F" w:rsidRDefault="007124F0" w:rsidP="007124F0">
            <w:pPr>
              <w:jc w:val="center"/>
              <w:rPr>
                <w:sz w:val="22"/>
                <w:szCs w:val="22"/>
              </w:rPr>
            </w:pPr>
            <w:r w:rsidRPr="00B11E8F">
              <w:rPr>
                <w:sz w:val="22"/>
                <w:szCs w:val="22"/>
              </w:rPr>
              <w:t>0.917</w:t>
            </w:r>
          </w:p>
        </w:tc>
        <w:tc>
          <w:tcPr>
            <w:tcW w:w="1260" w:type="dxa"/>
            <w:noWrap/>
            <w:vAlign w:val="bottom"/>
          </w:tcPr>
          <w:p w:rsidR="007124F0" w:rsidRPr="00B11E8F" w:rsidRDefault="007124F0" w:rsidP="007124F0">
            <w:pPr>
              <w:jc w:val="center"/>
              <w:rPr>
                <w:sz w:val="22"/>
                <w:szCs w:val="22"/>
              </w:rPr>
            </w:pPr>
            <w:r w:rsidRPr="00B11E8F">
              <w:rPr>
                <w:sz w:val="22"/>
                <w:szCs w:val="22"/>
              </w:rPr>
              <w:t>3.367</w:t>
            </w:r>
          </w:p>
        </w:tc>
        <w:tc>
          <w:tcPr>
            <w:tcW w:w="1260" w:type="dxa"/>
            <w:noWrap/>
            <w:vAlign w:val="bottom"/>
          </w:tcPr>
          <w:p w:rsidR="007124F0" w:rsidRPr="00B11E8F" w:rsidRDefault="007124F0" w:rsidP="007124F0">
            <w:pPr>
              <w:jc w:val="center"/>
              <w:rPr>
                <w:sz w:val="22"/>
                <w:szCs w:val="22"/>
              </w:rPr>
            </w:pPr>
            <w:r w:rsidRPr="00B11E8F">
              <w:rPr>
                <w:sz w:val="22"/>
                <w:szCs w:val="22"/>
              </w:rPr>
              <w:t>0.295</w:t>
            </w:r>
          </w:p>
        </w:tc>
        <w:tc>
          <w:tcPr>
            <w:tcW w:w="1360" w:type="dxa"/>
            <w:noWrap/>
            <w:vAlign w:val="bottom"/>
          </w:tcPr>
          <w:p w:rsidR="007124F0" w:rsidRPr="00B11E8F" w:rsidRDefault="007124F0" w:rsidP="007124F0">
            <w:pPr>
              <w:jc w:val="center"/>
              <w:rPr>
                <w:sz w:val="22"/>
                <w:szCs w:val="22"/>
              </w:rPr>
            </w:pPr>
            <w:r w:rsidRPr="00B11E8F">
              <w:rPr>
                <w:sz w:val="22"/>
                <w:szCs w:val="22"/>
              </w:rPr>
              <w:t>2.191</w:t>
            </w:r>
          </w:p>
        </w:tc>
      </w:tr>
      <w:tr w:rsidR="007124F0" w:rsidRPr="00FD4A39" w:rsidTr="007124F0">
        <w:trPr>
          <w:trHeight w:val="264"/>
        </w:trPr>
        <w:tc>
          <w:tcPr>
            <w:tcW w:w="1988" w:type="dxa"/>
            <w:noWrap/>
          </w:tcPr>
          <w:p w:rsidR="007124F0" w:rsidRPr="00FD4A39" w:rsidRDefault="007124F0" w:rsidP="007124F0">
            <w:pPr>
              <w:jc w:val="center"/>
              <w:rPr>
                <w:rFonts w:cs="Arial"/>
                <w:i/>
                <w:sz w:val="22"/>
                <w:szCs w:val="22"/>
              </w:rPr>
            </w:pPr>
          </w:p>
        </w:tc>
        <w:tc>
          <w:tcPr>
            <w:tcW w:w="1260" w:type="dxa"/>
            <w:noWrap/>
          </w:tcPr>
          <w:p w:rsidR="007124F0" w:rsidRPr="00FD4A39" w:rsidRDefault="007124F0" w:rsidP="007124F0">
            <w:pPr>
              <w:rPr>
                <w:rFonts w:cs="Arial"/>
                <w:sz w:val="22"/>
                <w:szCs w:val="22"/>
              </w:rPr>
            </w:pPr>
            <w:r w:rsidRPr="00FD4A39">
              <w:rPr>
                <w:rFonts w:cs="Arial"/>
                <w:sz w:val="22"/>
                <w:szCs w:val="22"/>
              </w:rPr>
              <w:t>Control</w:t>
            </w:r>
          </w:p>
        </w:tc>
        <w:tc>
          <w:tcPr>
            <w:tcW w:w="1080" w:type="dxa"/>
            <w:noWrap/>
            <w:vAlign w:val="bottom"/>
          </w:tcPr>
          <w:p w:rsidR="007124F0" w:rsidRPr="00B11E8F" w:rsidRDefault="007124F0" w:rsidP="007124F0">
            <w:pPr>
              <w:jc w:val="center"/>
              <w:rPr>
                <w:sz w:val="22"/>
                <w:szCs w:val="22"/>
              </w:rPr>
            </w:pPr>
            <w:r w:rsidRPr="00B11E8F">
              <w:rPr>
                <w:sz w:val="22"/>
                <w:szCs w:val="22"/>
              </w:rPr>
              <w:t>2.399</w:t>
            </w:r>
          </w:p>
        </w:tc>
        <w:tc>
          <w:tcPr>
            <w:tcW w:w="1260" w:type="dxa"/>
            <w:noWrap/>
            <w:vAlign w:val="bottom"/>
          </w:tcPr>
          <w:p w:rsidR="007124F0" w:rsidRPr="00B11E8F" w:rsidRDefault="007124F0" w:rsidP="007124F0">
            <w:pPr>
              <w:jc w:val="center"/>
              <w:rPr>
                <w:sz w:val="22"/>
                <w:szCs w:val="22"/>
              </w:rPr>
            </w:pPr>
            <w:r w:rsidRPr="00B11E8F">
              <w:rPr>
                <w:sz w:val="22"/>
                <w:szCs w:val="22"/>
              </w:rPr>
              <w:t>1.321</w:t>
            </w:r>
          </w:p>
        </w:tc>
        <w:tc>
          <w:tcPr>
            <w:tcW w:w="1260" w:type="dxa"/>
            <w:noWrap/>
            <w:vAlign w:val="bottom"/>
          </w:tcPr>
          <w:p w:rsidR="007124F0" w:rsidRPr="00B11E8F" w:rsidRDefault="007124F0" w:rsidP="007124F0">
            <w:pPr>
              <w:jc w:val="center"/>
              <w:rPr>
                <w:sz w:val="22"/>
                <w:szCs w:val="22"/>
              </w:rPr>
            </w:pPr>
            <w:r w:rsidRPr="00B11E8F">
              <w:rPr>
                <w:sz w:val="22"/>
                <w:szCs w:val="22"/>
              </w:rPr>
              <w:t>3.466</w:t>
            </w:r>
          </w:p>
        </w:tc>
        <w:tc>
          <w:tcPr>
            <w:tcW w:w="1260" w:type="dxa"/>
            <w:noWrap/>
            <w:vAlign w:val="bottom"/>
          </w:tcPr>
          <w:p w:rsidR="007124F0" w:rsidRPr="00B11E8F" w:rsidRDefault="007124F0" w:rsidP="007124F0">
            <w:pPr>
              <w:jc w:val="center"/>
              <w:rPr>
                <w:sz w:val="22"/>
                <w:szCs w:val="22"/>
              </w:rPr>
            </w:pPr>
            <w:r w:rsidRPr="00B11E8F">
              <w:rPr>
                <w:sz w:val="22"/>
                <w:szCs w:val="22"/>
              </w:rPr>
              <w:t>0.554</w:t>
            </w:r>
          </w:p>
        </w:tc>
        <w:tc>
          <w:tcPr>
            <w:tcW w:w="1360" w:type="dxa"/>
            <w:noWrap/>
            <w:vAlign w:val="bottom"/>
          </w:tcPr>
          <w:p w:rsidR="007124F0" w:rsidRPr="00B11E8F" w:rsidRDefault="007124F0" w:rsidP="007124F0">
            <w:pPr>
              <w:jc w:val="center"/>
              <w:rPr>
                <w:sz w:val="22"/>
                <w:szCs w:val="22"/>
              </w:rPr>
            </w:pPr>
            <w:r w:rsidRPr="00B11E8F">
              <w:rPr>
                <w:sz w:val="22"/>
                <w:szCs w:val="22"/>
              </w:rPr>
              <w:t>2.987</w:t>
            </w: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p>
        </w:tc>
        <w:tc>
          <w:tcPr>
            <w:tcW w:w="1260" w:type="dxa"/>
            <w:noWrap/>
            <w:vAlign w:val="bottom"/>
          </w:tcPr>
          <w:p w:rsidR="007124F0" w:rsidRPr="00FD4A39" w:rsidRDefault="007124F0" w:rsidP="007124F0">
            <w:pPr>
              <w:rPr>
                <w:rFonts w:cs="Arial"/>
                <w:sz w:val="22"/>
                <w:szCs w:val="22"/>
              </w:rPr>
            </w:pPr>
          </w:p>
        </w:tc>
        <w:tc>
          <w:tcPr>
            <w:tcW w:w="108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360" w:type="dxa"/>
            <w:noWrap/>
            <w:vAlign w:val="bottom"/>
          </w:tcPr>
          <w:p w:rsidR="007124F0" w:rsidRPr="00B11E8F" w:rsidRDefault="007124F0" w:rsidP="007124F0">
            <w:pPr>
              <w:jc w:val="center"/>
              <w:rPr>
                <w:sz w:val="22"/>
                <w:szCs w:val="22"/>
              </w:rPr>
            </w:pP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r w:rsidRPr="00FD4A39">
              <w:rPr>
                <w:rFonts w:cs="Arial"/>
                <w:i/>
                <w:sz w:val="22"/>
                <w:szCs w:val="22"/>
              </w:rPr>
              <w:t>Profitability</w:t>
            </w:r>
          </w:p>
        </w:tc>
        <w:tc>
          <w:tcPr>
            <w:tcW w:w="1260" w:type="dxa"/>
            <w:noWrap/>
            <w:vAlign w:val="bottom"/>
          </w:tcPr>
          <w:p w:rsidR="007124F0" w:rsidRPr="00FD4A39" w:rsidRDefault="007124F0" w:rsidP="007124F0">
            <w:pPr>
              <w:rPr>
                <w:rFonts w:cs="Arial"/>
                <w:sz w:val="22"/>
                <w:szCs w:val="22"/>
              </w:rPr>
            </w:pPr>
            <w:r w:rsidRPr="00FD4A39">
              <w:rPr>
                <w:rFonts w:cs="Arial"/>
                <w:sz w:val="22"/>
                <w:szCs w:val="22"/>
              </w:rPr>
              <w:t>Treated</w:t>
            </w:r>
          </w:p>
        </w:tc>
        <w:tc>
          <w:tcPr>
            <w:tcW w:w="1080" w:type="dxa"/>
            <w:noWrap/>
            <w:vAlign w:val="bottom"/>
          </w:tcPr>
          <w:p w:rsidR="007124F0" w:rsidRPr="00B11E8F" w:rsidRDefault="007124F0" w:rsidP="007124F0">
            <w:pPr>
              <w:jc w:val="center"/>
              <w:rPr>
                <w:sz w:val="22"/>
                <w:szCs w:val="22"/>
              </w:rPr>
            </w:pPr>
            <w:r w:rsidRPr="00B11E8F">
              <w:rPr>
                <w:sz w:val="22"/>
                <w:szCs w:val="22"/>
              </w:rPr>
              <w:t>0.089</w:t>
            </w:r>
          </w:p>
        </w:tc>
        <w:tc>
          <w:tcPr>
            <w:tcW w:w="1260" w:type="dxa"/>
            <w:noWrap/>
            <w:vAlign w:val="bottom"/>
          </w:tcPr>
          <w:p w:rsidR="007124F0" w:rsidRPr="00B11E8F" w:rsidRDefault="007124F0" w:rsidP="007124F0">
            <w:pPr>
              <w:jc w:val="center"/>
              <w:rPr>
                <w:sz w:val="22"/>
                <w:szCs w:val="22"/>
              </w:rPr>
            </w:pPr>
            <w:r w:rsidRPr="00B11E8F">
              <w:rPr>
                <w:sz w:val="22"/>
                <w:szCs w:val="22"/>
              </w:rPr>
              <w:t>0.091</w:t>
            </w:r>
          </w:p>
        </w:tc>
        <w:tc>
          <w:tcPr>
            <w:tcW w:w="1260" w:type="dxa"/>
            <w:noWrap/>
            <w:vAlign w:val="bottom"/>
          </w:tcPr>
          <w:p w:rsidR="007124F0" w:rsidRPr="00B11E8F" w:rsidRDefault="007124F0" w:rsidP="007124F0">
            <w:pPr>
              <w:jc w:val="center"/>
              <w:rPr>
                <w:sz w:val="22"/>
                <w:szCs w:val="22"/>
              </w:rPr>
            </w:pPr>
            <w:r w:rsidRPr="00B11E8F">
              <w:rPr>
                <w:sz w:val="22"/>
                <w:szCs w:val="22"/>
              </w:rPr>
              <w:t>0.029</w:t>
            </w:r>
          </w:p>
        </w:tc>
        <w:tc>
          <w:tcPr>
            <w:tcW w:w="1260" w:type="dxa"/>
            <w:noWrap/>
            <w:vAlign w:val="bottom"/>
          </w:tcPr>
          <w:p w:rsidR="007124F0" w:rsidRPr="00B11E8F" w:rsidRDefault="007124F0" w:rsidP="007124F0">
            <w:pPr>
              <w:jc w:val="center"/>
              <w:rPr>
                <w:sz w:val="22"/>
                <w:szCs w:val="22"/>
              </w:rPr>
            </w:pPr>
            <w:r w:rsidRPr="00B11E8F">
              <w:rPr>
                <w:sz w:val="22"/>
                <w:szCs w:val="22"/>
              </w:rPr>
              <w:t>0.077</w:t>
            </w:r>
          </w:p>
        </w:tc>
        <w:tc>
          <w:tcPr>
            <w:tcW w:w="1360" w:type="dxa"/>
            <w:noWrap/>
            <w:vAlign w:val="bottom"/>
          </w:tcPr>
          <w:p w:rsidR="007124F0" w:rsidRPr="00B11E8F" w:rsidRDefault="007124F0" w:rsidP="007124F0">
            <w:pPr>
              <w:jc w:val="center"/>
              <w:rPr>
                <w:sz w:val="22"/>
                <w:szCs w:val="22"/>
              </w:rPr>
            </w:pPr>
            <w:r w:rsidRPr="00B11E8F">
              <w:rPr>
                <w:sz w:val="22"/>
                <w:szCs w:val="22"/>
              </w:rPr>
              <w:t>0.105</w:t>
            </w:r>
          </w:p>
        </w:tc>
      </w:tr>
      <w:tr w:rsidR="007124F0" w:rsidRPr="00FD4A39" w:rsidTr="007124F0">
        <w:trPr>
          <w:trHeight w:val="264"/>
        </w:trPr>
        <w:tc>
          <w:tcPr>
            <w:tcW w:w="1988" w:type="dxa"/>
            <w:noWrap/>
          </w:tcPr>
          <w:p w:rsidR="007124F0" w:rsidRPr="00FD4A39" w:rsidRDefault="007124F0" w:rsidP="007124F0">
            <w:pPr>
              <w:jc w:val="center"/>
              <w:rPr>
                <w:rFonts w:cs="Arial"/>
                <w:i/>
                <w:sz w:val="22"/>
                <w:szCs w:val="22"/>
              </w:rPr>
            </w:pPr>
          </w:p>
        </w:tc>
        <w:tc>
          <w:tcPr>
            <w:tcW w:w="1260" w:type="dxa"/>
            <w:noWrap/>
          </w:tcPr>
          <w:p w:rsidR="007124F0" w:rsidRPr="00FD4A39" w:rsidRDefault="007124F0" w:rsidP="007124F0">
            <w:pPr>
              <w:rPr>
                <w:rFonts w:cs="Arial"/>
                <w:sz w:val="22"/>
                <w:szCs w:val="22"/>
              </w:rPr>
            </w:pPr>
            <w:r w:rsidRPr="00FD4A39">
              <w:rPr>
                <w:rFonts w:cs="Arial"/>
                <w:sz w:val="22"/>
                <w:szCs w:val="22"/>
              </w:rPr>
              <w:t>Control</w:t>
            </w:r>
          </w:p>
        </w:tc>
        <w:tc>
          <w:tcPr>
            <w:tcW w:w="1080" w:type="dxa"/>
            <w:noWrap/>
            <w:vAlign w:val="bottom"/>
          </w:tcPr>
          <w:p w:rsidR="007124F0" w:rsidRPr="00B11E8F" w:rsidRDefault="007124F0" w:rsidP="007124F0">
            <w:pPr>
              <w:jc w:val="center"/>
              <w:rPr>
                <w:sz w:val="22"/>
                <w:szCs w:val="22"/>
              </w:rPr>
            </w:pPr>
            <w:r w:rsidRPr="00B11E8F">
              <w:rPr>
                <w:sz w:val="22"/>
                <w:szCs w:val="22"/>
              </w:rPr>
              <w:t>0.089</w:t>
            </w:r>
          </w:p>
        </w:tc>
        <w:tc>
          <w:tcPr>
            <w:tcW w:w="1260" w:type="dxa"/>
            <w:noWrap/>
            <w:vAlign w:val="bottom"/>
          </w:tcPr>
          <w:p w:rsidR="007124F0" w:rsidRPr="00B11E8F" w:rsidRDefault="007124F0" w:rsidP="007124F0">
            <w:pPr>
              <w:jc w:val="center"/>
              <w:rPr>
                <w:sz w:val="22"/>
                <w:szCs w:val="22"/>
              </w:rPr>
            </w:pPr>
            <w:r w:rsidRPr="00B11E8F">
              <w:rPr>
                <w:sz w:val="22"/>
                <w:szCs w:val="22"/>
              </w:rPr>
              <w:t>0.091</w:t>
            </w:r>
          </w:p>
        </w:tc>
        <w:tc>
          <w:tcPr>
            <w:tcW w:w="1260" w:type="dxa"/>
            <w:noWrap/>
            <w:vAlign w:val="bottom"/>
          </w:tcPr>
          <w:p w:rsidR="007124F0" w:rsidRPr="00B11E8F" w:rsidRDefault="007124F0" w:rsidP="007124F0">
            <w:pPr>
              <w:jc w:val="center"/>
              <w:rPr>
                <w:sz w:val="22"/>
                <w:szCs w:val="22"/>
              </w:rPr>
            </w:pPr>
            <w:r w:rsidRPr="00B11E8F">
              <w:rPr>
                <w:sz w:val="22"/>
                <w:szCs w:val="22"/>
              </w:rPr>
              <w:t>0.031</w:t>
            </w:r>
          </w:p>
        </w:tc>
        <w:tc>
          <w:tcPr>
            <w:tcW w:w="1260" w:type="dxa"/>
            <w:noWrap/>
            <w:vAlign w:val="bottom"/>
          </w:tcPr>
          <w:p w:rsidR="007124F0" w:rsidRPr="00B11E8F" w:rsidRDefault="007124F0" w:rsidP="007124F0">
            <w:pPr>
              <w:jc w:val="center"/>
              <w:rPr>
                <w:sz w:val="22"/>
                <w:szCs w:val="22"/>
              </w:rPr>
            </w:pPr>
            <w:r w:rsidRPr="00B11E8F">
              <w:rPr>
                <w:sz w:val="22"/>
                <w:szCs w:val="22"/>
              </w:rPr>
              <w:t>0.076</w:t>
            </w:r>
          </w:p>
        </w:tc>
        <w:tc>
          <w:tcPr>
            <w:tcW w:w="1360" w:type="dxa"/>
            <w:noWrap/>
            <w:vAlign w:val="bottom"/>
          </w:tcPr>
          <w:p w:rsidR="007124F0" w:rsidRPr="00B11E8F" w:rsidRDefault="007124F0" w:rsidP="007124F0">
            <w:pPr>
              <w:jc w:val="center"/>
              <w:rPr>
                <w:sz w:val="22"/>
                <w:szCs w:val="22"/>
              </w:rPr>
            </w:pPr>
            <w:r w:rsidRPr="00B11E8F">
              <w:rPr>
                <w:sz w:val="22"/>
                <w:szCs w:val="22"/>
              </w:rPr>
              <w:t>0.106</w:t>
            </w: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p>
        </w:tc>
        <w:tc>
          <w:tcPr>
            <w:tcW w:w="1260" w:type="dxa"/>
            <w:noWrap/>
            <w:vAlign w:val="bottom"/>
          </w:tcPr>
          <w:p w:rsidR="007124F0" w:rsidRPr="00FD4A39" w:rsidRDefault="007124F0" w:rsidP="007124F0">
            <w:pPr>
              <w:rPr>
                <w:rFonts w:cs="Arial"/>
                <w:sz w:val="22"/>
                <w:szCs w:val="22"/>
              </w:rPr>
            </w:pPr>
          </w:p>
        </w:tc>
        <w:tc>
          <w:tcPr>
            <w:tcW w:w="108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360" w:type="dxa"/>
            <w:noWrap/>
            <w:vAlign w:val="bottom"/>
          </w:tcPr>
          <w:p w:rsidR="007124F0" w:rsidRPr="00B11E8F" w:rsidRDefault="007124F0" w:rsidP="007124F0">
            <w:pPr>
              <w:jc w:val="center"/>
              <w:rPr>
                <w:sz w:val="22"/>
                <w:szCs w:val="22"/>
              </w:rPr>
            </w:pP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r w:rsidRPr="00FD4A39">
              <w:rPr>
                <w:rFonts w:cs="Arial"/>
                <w:i/>
                <w:sz w:val="22"/>
                <w:szCs w:val="22"/>
              </w:rPr>
              <w:t>EarningsVolatility</w:t>
            </w:r>
          </w:p>
        </w:tc>
        <w:tc>
          <w:tcPr>
            <w:tcW w:w="1260" w:type="dxa"/>
            <w:noWrap/>
            <w:vAlign w:val="bottom"/>
          </w:tcPr>
          <w:p w:rsidR="007124F0" w:rsidRPr="00FD4A39" w:rsidRDefault="007124F0" w:rsidP="007124F0">
            <w:pPr>
              <w:rPr>
                <w:rFonts w:cs="Arial"/>
                <w:sz w:val="22"/>
                <w:szCs w:val="22"/>
              </w:rPr>
            </w:pPr>
            <w:r w:rsidRPr="00FD4A39">
              <w:rPr>
                <w:rFonts w:cs="Arial"/>
                <w:sz w:val="22"/>
                <w:szCs w:val="22"/>
              </w:rPr>
              <w:t>Treated</w:t>
            </w:r>
          </w:p>
        </w:tc>
        <w:tc>
          <w:tcPr>
            <w:tcW w:w="1080" w:type="dxa"/>
            <w:noWrap/>
            <w:vAlign w:val="bottom"/>
          </w:tcPr>
          <w:p w:rsidR="007124F0" w:rsidRPr="00B11E8F" w:rsidRDefault="007124F0" w:rsidP="007124F0">
            <w:pPr>
              <w:jc w:val="center"/>
              <w:rPr>
                <w:sz w:val="22"/>
                <w:szCs w:val="22"/>
              </w:rPr>
            </w:pPr>
            <w:r w:rsidRPr="00B11E8F">
              <w:rPr>
                <w:sz w:val="22"/>
                <w:szCs w:val="22"/>
              </w:rPr>
              <w:t>0.026</w:t>
            </w:r>
          </w:p>
        </w:tc>
        <w:tc>
          <w:tcPr>
            <w:tcW w:w="1260" w:type="dxa"/>
            <w:noWrap/>
            <w:vAlign w:val="bottom"/>
          </w:tcPr>
          <w:p w:rsidR="007124F0" w:rsidRPr="00B11E8F" w:rsidRDefault="007124F0" w:rsidP="007124F0">
            <w:pPr>
              <w:jc w:val="center"/>
              <w:rPr>
                <w:sz w:val="22"/>
                <w:szCs w:val="22"/>
              </w:rPr>
            </w:pPr>
            <w:r w:rsidRPr="00B11E8F">
              <w:rPr>
                <w:sz w:val="22"/>
                <w:szCs w:val="22"/>
              </w:rPr>
              <w:t>0.022</w:t>
            </w:r>
          </w:p>
        </w:tc>
        <w:tc>
          <w:tcPr>
            <w:tcW w:w="1260" w:type="dxa"/>
            <w:noWrap/>
            <w:vAlign w:val="bottom"/>
          </w:tcPr>
          <w:p w:rsidR="007124F0" w:rsidRPr="00B11E8F" w:rsidRDefault="007124F0" w:rsidP="007124F0">
            <w:pPr>
              <w:jc w:val="center"/>
              <w:rPr>
                <w:sz w:val="22"/>
                <w:szCs w:val="22"/>
              </w:rPr>
            </w:pPr>
            <w:r w:rsidRPr="00B11E8F">
              <w:rPr>
                <w:sz w:val="22"/>
                <w:szCs w:val="22"/>
              </w:rPr>
              <w:t>0.019</w:t>
            </w:r>
          </w:p>
        </w:tc>
        <w:tc>
          <w:tcPr>
            <w:tcW w:w="1260" w:type="dxa"/>
            <w:noWrap/>
            <w:vAlign w:val="bottom"/>
          </w:tcPr>
          <w:p w:rsidR="007124F0" w:rsidRPr="00B11E8F" w:rsidRDefault="007124F0" w:rsidP="007124F0">
            <w:pPr>
              <w:jc w:val="center"/>
              <w:rPr>
                <w:sz w:val="22"/>
                <w:szCs w:val="22"/>
              </w:rPr>
            </w:pPr>
            <w:r w:rsidRPr="00B11E8F">
              <w:rPr>
                <w:sz w:val="22"/>
                <w:szCs w:val="22"/>
              </w:rPr>
              <w:t>0.011</w:t>
            </w:r>
          </w:p>
        </w:tc>
        <w:tc>
          <w:tcPr>
            <w:tcW w:w="1360" w:type="dxa"/>
            <w:noWrap/>
            <w:vAlign w:val="bottom"/>
          </w:tcPr>
          <w:p w:rsidR="007124F0" w:rsidRPr="00B11E8F" w:rsidRDefault="007124F0" w:rsidP="007124F0">
            <w:pPr>
              <w:jc w:val="center"/>
              <w:rPr>
                <w:sz w:val="22"/>
                <w:szCs w:val="22"/>
              </w:rPr>
            </w:pPr>
            <w:r w:rsidRPr="00B11E8F">
              <w:rPr>
                <w:sz w:val="22"/>
                <w:szCs w:val="22"/>
              </w:rPr>
              <w:t>0.035</w:t>
            </w:r>
          </w:p>
        </w:tc>
      </w:tr>
      <w:tr w:rsidR="007124F0" w:rsidRPr="00FD4A39" w:rsidTr="007124F0">
        <w:trPr>
          <w:trHeight w:val="264"/>
        </w:trPr>
        <w:tc>
          <w:tcPr>
            <w:tcW w:w="1988" w:type="dxa"/>
            <w:noWrap/>
          </w:tcPr>
          <w:p w:rsidR="007124F0" w:rsidRPr="00FD4A39" w:rsidRDefault="007124F0" w:rsidP="007124F0">
            <w:pPr>
              <w:jc w:val="center"/>
              <w:rPr>
                <w:rFonts w:cs="Arial"/>
                <w:i/>
                <w:sz w:val="22"/>
                <w:szCs w:val="22"/>
              </w:rPr>
            </w:pPr>
          </w:p>
        </w:tc>
        <w:tc>
          <w:tcPr>
            <w:tcW w:w="1260" w:type="dxa"/>
            <w:noWrap/>
          </w:tcPr>
          <w:p w:rsidR="007124F0" w:rsidRPr="00FD4A39" w:rsidRDefault="007124F0" w:rsidP="007124F0">
            <w:pPr>
              <w:rPr>
                <w:rFonts w:cs="Arial"/>
                <w:sz w:val="22"/>
                <w:szCs w:val="22"/>
              </w:rPr>
            </w:pPr>
            <w:r w:rsidRPr="00FD4A39">
              <w:rPr>
                <w:rFonts w:cs="Arial"/>
                <w:sz w:val="22"/>
                <w:szCs w:val="22"/>
              </w:rPr>
              <w:t>Control</w:t>
            </w:r>
          </w:p>
        </w:tc>
        <w:tc>
          <w:tcPr>
            <w:tcW w:w="1080" w:type="dxa"/>
            <w:noWrap/>
            <w:vAlign w:val="bottom"/>
          </w:tcPr>
          <w:p w:rsidR="007124F0" w:rsidRPr="00B11E8F" w:rsidRDefault="007124F0" w:rsidP="007124F0">
            <w:pPr>
              <w:jc w:val="center"/>
              <w:rPr>
                <w:sz w:val="22"/>
                <w:szCs w:val="22"/>
              </w:rPr>
            </w:pPr>
            <w:r w:rsidRPr="00B11E8F">
              <w:rPr>
                <w:sz w:val="22"/>
                <w:szCs w:val="22"/>
              </w:rPr>
              <w:t>0.026</w:t>
            </w:r>
          </w:p>
        </w:tc>
        <w:tc>
          <w:tcPr>
            <w:tcW w:w="1260" w:type="dxa"/>
            <w:noWrap/>
            <w:vAlign w:val="bottom"/>
          </w:tcPr>
          <w:p w:rsidR="007124F0" w:rsidRPr="00B11E8F" w:rsidRDefault="007124F0" w:rsidP="007124F0">
            <w:pPr>
              <w:jc w:val="center"/>
              <w:rPr>
                <w:sz w:val="22"/>
                <w:szCs w:val="22"/>
              </w:rPr>
            </w:pPr>
            <w:r w:rsidRPr="00B11E8F">
              <w:rPr>
                <w:sz w:val="22"/>
                <w:szCs w:val="22"/>
              </w:rPr>
              <w:t>0.021</w:t>
            </w:r>
          </w:p>
        </w:tc>
        <w:tc>
          <w:tcPr>
            <w:tcW w:w="1260" w:type="dxa"/>
            <w:noWrap/>
            <w:vAlign w:val="bottom"/>
          </w:tcPr>
          <w:p w:rsidR="007124F0" w:rsidRPr="00B11E8F" w:rsidRDefault="007124F0" w:rsidP="007124F0">
            <w:pPr>
              <w:jc w:val="center"/>
              <w:rPr>
                <w:sz w:val="22"/>
                <w:szCs w:val="22"/>
              </w:rPr>
            </w:pPr>
            <w:r w:rsidRPr="00B11E8F">
              <w:rPr>
                <w:sz w:val="22"/>
                <w:szCs w:val="22"/>
              </w:rPr>
              <w:t>0.022</w:t>
            </w:r>
          </w:p>
        </w:tc>
        <w:tc>
          <w:tcPr>
            <w:tcW w:w="1260" w:type="dxa"/>
            <w:noWrap/>
            <w:vAlign w:val="bottom"/>
          </w:tcPr>
          <w:p w:rsidR="007124F0" w:rsidRPr="00B11E8F" w:rsidRDefault="007124F0" w:rsidP="007124F0">
            <w:pPr>
              <w:jc w:val="center"/>
              <w:rPr>
                <w:sz w:val="22"/>
                <w:szCs w:val="22"/>
              </w:rPr>
            </w:pPr>
            <w:r w:rsidRPr="00B11E8F">
              <w:rPr>
                <w:sz w:val="22"/>
                <w:szCs w:val="22"/>
              </w:rPr>
              <w:t>0.012</w:t>
            </w:r>
          </w:p>
        </w:tc>
        <w:tc>
          <w:tcPr>
            <w:tcW w:w="1360" w:type="dxa"/>
            <w:noWrap/>
            <w:vAlign w:val="bottom"/>
          </w:tcPr>
          <w:p w:rsidR="007124F0" w:rsidRPr="00B11E8F" w:rsidRDefault="007124F0" w:rsidP="007124F0">
            <w:pPr>
              <w:jc w:val="center"/>
              <w:rPr>
                <w:sz w:val="22"/>
                <w:szCs w:val="22"/>
              </w:rPr>
            </w:pPr>
            <w:r w:rsidRPr="00B11E8F">
              <w:rPr>
                <w:sz w:val="22"/>
                <w:szCs w:val="22"/>
              </w:rPr>
              <w:t>0.035</w:t>
            </w: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p>
        </w:tc>
        <w:tc>
          <w:tcPr>
            <w:tcW w:w="1260" w:type="dxa"/>
            <w:noWrap/>
            <w:vAlign w:val="bottom"/>
          </w:tcPr>
          <w:p w:rsidR="007124F0" w:rsidRPr="00FD4A39" w:rsidRDefault="007124F0" w:rsidP="007124F0">
            <w:pPr>
              <w:rPr>
                <w:rFonts w:cs="Arial"/>
                <w:sz w:val="22"/>
                <w:szCs w:val="22"/>
              </w:rPr>
            </w:pPr>
          </w:p>
        </w:tc>
        <w:tc>
          <w:tcPr>
            <w:tcW w:w="108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260" w:type="dxa"/>
            <w:noWrap/>
            <w:vAlign w:val="bottom"/>
          </w:tcPr>
          <w:p w:rsidR="007124F0" w:rsidRPr="00B11E8F" w:rsidRDefault="007124F0" w:rsidP="007124F0">
            <w:pPr>
              <w:jc w:val="center"/>
              <w:rPr>
                <w:sz w:val="22"/>
                <w:szCs w:val="22"/>
              </w:rPr>
            </w:pPr>
          </w:p>
        </w:tc>
        <w:tc>
          <w:tcPr>
            <w:tcW w:w="1360" w:type="dxa"/>
            <w:noWrap/>
            <w:vAlign w:val="bottom"/>
          </w:tcPr>
          <w:p w:rsidR="007124F0" w:rsidRPr="00B11E8F" w:rsidRDefault="007124F0" w:rsidP="007124F0">
            <w:pPr>
              <w:jc w:val="center"/>
              <w:rPr>
                <w:sz w:val="22"/>
                <w:szCs w:val="22"/>
              </w:rPr>
            </w:pPr>
          </w:p>
        </w:tc>
      </w:tr>
      <w:tr w:rsidR="007124F0" w:rsidRPr="00FD4A39" w:rsidTr="007124F0">
        <w:trPr>
          <w:trHeight w:val="264"/>
        </w:trPr>
        <w:tc>
          <w:tcPr>
            <w:tcW w:w="1988" w:type="dxa"/>
            <w:noWrap/>
            <w:vAlign w:val="bottom"/>
          </w:tcPr>
          <w:p w:rsidR="007124F0" w:rsidRPr="00FD4A39" w:rsidRDefault="007124F0" w:rsidP="007124F0">
            <w:pPr>
              <w:rPr>
                <w:rFonts w:cs="Arial"/>
                <w:i/>
                <w:sz w:val="22"/>
                <w:szCs w:val="22"/>
              </w:rPr>
            </w:pPr>
            <w:r w:rsidRPr="00FD4A39">
              <w:rPr>
                <w:rFonts w:cs="Arial"/>
                <w:i/>
                <w:sz w:val="22"/>
                <w:szCs w:val="22"/>
              </w:rPr>
              <w:t xml:space="preserve">Age </w:t>
            </w:r>
            <w:r w:rsidRPr="00FD4A39">
              <w:rPr>
                <w:rFonts w:cs="Arial"/>
                <w:sz w:val="22"/>
                <w:szCs w:val="22"/>
              </w:rPr>
              <w:t>(Yr.)</w:t>
            </w:r>
          </w:p>
        </w:tc>
        <w:tc>
          <w:tcPr>
            <w:tcW w:w="1260" w:type="dxa"/>
            <w:noWrap/>
            <w:vAlign w:val="bottom"/>
          </w:tcPr>
          <w:p w:rsidR="007124F0" w:rsidRPr="00FD4A39" w:rsidRDefault="007124F0" w:rsidP="007124F0">
            <w:pPr>
              <w:rPr>
                <w:rFonts w:cs="Arial"/>
                <w:sz w:val="22"/>
                <w:szCs w:val="22"/>
              </w:rPr>
            </w:pPr>
            <w:r w:rsidRPr="00FD4A39">
              <w:rPr>
                <w:rFonts w:cs="Arial"/>
                <w:sz w:val="22"/>
                <w:szCs w:val="22"/>
              </w:rPr>
              <w:t>Treated</w:t>
            </w:r>
          </w:p>
        </w:tc>
        <w:tc>
          <w:tcPr>
            <w:tcW w:w="1080" w:type="dxa"/>
            <w:noWrap/>
            <w:vAlign w:val="bottom"/>
          </w:tcPr>
          <w:p w:rsidR="007124F0" w:rsidRPr="00B11E8F" w:rsidRDefault="007124F0" w:rsidP="007124F0">
            <w:pPr>
              <w:jc w:val="center"/>
              <w:rPr>
                <w:sz w:val="22"/>
                <w:szCs w:val="22"/>
              </w:rPr>
            </w:pPr>
            <w:r w:rsidRPr="00B11E8F">
              <w:rPr>
                <w:sz w:val="22"/>
                <w:szCs w:val="22"/>
              </w:rPr>
              <w:t>10.682</w:t>
            </w:r>
          </w:p>
        </w:tc>
        <w:tc>
          <w:tcPr>
            <w:tcW w:w="1260" w:type="dxa"/>
            <w:noWrap/>
            <w:vAlign w:val="bottom"/>
          </w:tcPr>
          <w:p w:rsidR="007124F0" w:rsidRPr="00B11E8F" w:rsidRDefault="007124F0" w:rsidP="007124F0">
            <w:pPr>
              <w:jc w:val="center"/>
              <w:rPr>
                <w:sz w:val="22"/>
                <w:szCs w:val="22"/>
              </w:rPr>
            </w:pPr>
            <w:r w:rsidRPr="00B11E8F">
              <w:rPr>
                <w:sz w:val="22"/>
                <w:szCs w:val="22"/>
              </w:rPr>
              <w:t>8.142</w:t>
            </w:r>
          </w:p>
        </w:tc>
        <w:tc>
          <w:tcPr>
            <w:tcW w:w="1260" w:type="dxa"/>
            <w:noWrap/>
            <w:vAlign w:val="bottom"/>
          </w:tcPr>
          <w:p w:rsidR="007124F0" w:rsidRPr="00B11E8F" w:rsidRDefault="007124F0" w:rsidP="007124F0">
            <w:pPr>
              <w:jc w:val="center"/>
              <w:rPr>
                <w:sz w:val="22"/>
                <w:szCs w:val="22"/>
              </w:rPr>
            </w:pPr>
            <w:r w:rsidRPr="00B11E8F">
              <w:rPr>
                <w:sz w:val="22"/>
                <w:szCs w:val="22"/>
              </w:rPr>
              <w:t>9.451</w:t>
            </w:r>
          </w:p>
        </w:tc>
        <w:tc>
          <w:tcPr>
            <w:tcW w:w="1260" w:type="dxa"/>
            <w:noWrap/>
            <w:vAlign w:val="bottom"/>
          </w:tcPr>
          <w:p w:rsidR="007124F0" w:rsidRPr="00B11E8F" w:rsidRDefault="007124F0" w:rsidP="007124F0">
            <w:pPr>
              <w:jc w:val="center"/>
              <w:rPr>
                <w:sz w:val="22"/>
                <w:szCs w:val="22"/>
              </w:rPr>
            </w:pPr>
            <w:r w:rsidRPr="00B11E8F">
              <w:rPr>
                <w:sz w:val="22"/>
                <w:szCs w:val="22"/>
              </w:rPr>
              <w:t>4.208</w:t>
            </w:r>
          </w:p>
        </w:tc>
        <w:tc>
          <w:tcPr>
            <w:tcW w:w="1360" w:type="dxa"/>
            <w:noWrap/>
            <w:vAlign w:val="bottom"/>
          </w:tcPr>
          <w:p w:rsidR="007124F0" w:rsidRPr="00B11E8F" w:rsidRDefault="007124F0" w:rsidP="007124F0">
            <w:pPr>
              <w:jc w:val="center"/>
              <w:rPr>
                <w:sz w:val="22"/>
                <w:szCs w:val="22"/>
              </w:rPr>
            </w:pPr>
            <w:r w:rsidRPr="00B11E8F">
              <w:rPr>
                <w:sz w:val="22"/>
                <w:szCs w:val="22"/>
              </w:rPr>
              <w:t>12.742</w:t>
            </w:r>
          </w:p>
        </w:tc>
      </w:tr>
      <w:tr w:rsidR="007124F0" w:rsidRPr="00FD4A39" w:rsidTr="007124F0">
        <w:trPr>
          <w:trHeight w:val="264"/>
        </w:trPr>
        <w:tc>
          <w:tcPr>
            <w:tcW w:w="1988" w:type="dxa"/>
            <w:tcBorders>
              <w:bottom w:val="double" w:sz="4" w:space="0" w:color="auto"/>
            </w:tcBorders>
            <w:noWrap/>
          </w:tcPr>
          <w:p w:rsidR="007124F0" w:rsidRPr="00FD4A39" w:rsidRDefault="007124F0" w:rsidP="007124F0">
            <w:pPr>
              <w:jc w:val="center"/>
              <w:rPr>
                <w:rFonts w:cs="Arial"/>
                <w:sz w:val="22"/>
                <w:szCs w:val="22"/>
              </w:rPr>
            </w:pPr>
          </w:p>
        </w:tc>
        <w:tc>
          <w:tcPr>
            <w:tcW w:w="1260" w:type="dxa"/>
            <w:tcBorders>
              <w:bottom w:val="double" w:sz="4" w:space="0" w:color="auto"/>
            </w:tcBorders>
            <w:noWrap/>
          </w:tcPr>
          <w:p w:rsidR="007124F0" w:rsidRPr="00FD4A39" w:rsidRDefault="007124F0" w:rsidP="007124F0">
            <w:pPr>
              <w:rPr>
                <w:rFonts w:cs="Arial"/>
                <w:sz w:val="22"/>
                <w:szCs w:val="22"/>
              </w:rPr>
            </w:pPr>
            <w:r w:rsidRPr="00FD4A39">
              <w:rPr>
                <w:rFonts w:cs="Arial"/>
                <w:sz w:val="22"/>
                <w:szCs w:val="22"/>
              </w:rPr>
              <w:t>Control</w:t>
            </w:r>
          </w:p>
        </w:tc>
        <w:tc>
          <w:tcPr>
            <w:tcW w:w="1080" w:type="dxa"/>
            <w:tcBorders>
              <w:bottom w:val="double" w:sz="4" w:space="0" w:color="auto"/>
            </w:tcBorders>
            <w:noWrap/>
            <w:vAlign w:val="bottom"/>
          </w:tcPr>
          <w:p w:rsidR="007124F0" w:rsidRPr="00B11E8F" w:rsidRDefault="007124F0" w:rsidP="007124F0">
            <w:pPr>
              <w:jc w:val="center"/>
              <w:rPr>
                <w:sz w:val="22"/>
                <w:szCs w:val="22"/>
              </w:rPr>
            </w:pPr>
            <w:r w:rsidRPr="00B11E8F">
              <w:rPr>
                <w:sz w:val="22"/>
                <w:szCs w:val="22"/>
              </w:rPr>
              <w:t>10.593</w:t>
            </w:r>
          </w:p>
        </w:tc>
        <w:tc>
          <w:tcPr>
            <w:tcW w:w="1260" w:type="dxa"/>
            <w:tcBorders>
              <w:bottom w:val="double" w:sz="4" w:space="0" w:color="auto"/>
            </w:tcBorders>
            <w:noWrap/>
            <w:vAlign w:val="bottom"/>
          </w:tcPr>
          <w:p w:rsidR="007124F0" w:rsidRPr="00B11E8F" w:rsidRDefault="007124F0" w:rsidP="007124F0">
            <w:pPr>
              <w:jc w:val="center"/>
              <w:rPr>
                <w:sz w:val="22"/>
                <w:szCs w:val="22"/>
              </w:rPr>
            </w:pPr>
            <w:r w:rsidRPr="00B11E8F">
              <w:rPr>
                <w:sz w:val="22"/>
                <w:szCs w:val="22"/>
              </w:rPr>
              <w:t>7.490</w:t>
            </w:r>
          </w:p>
        </w:tc>
        <w:tc>
          <w:tcPr>
            <w:tcW w:w="1260" w:type="dxa"/>
            <w:tcBorders>
              <w:bottom w:val="double" w:sz="4" w:space="0" w:color="auto"/>
            </w:tcBorders>
            <w:noWrap/>
            <w:vAlign w:val="bottom"/>
          </w:tcPr>
          <w:p w:rsidR="007124F0" w:rsidRPr="00B11E8F" w:rsidRDefault="007124F0" w:rsidP="007124F0">
            <w:pPr>
              <w:jc w:val="center"/>
              <w:rPr>
                <w:sz w:val="22"/>
                <w:szCs w:val="22"/>
              </w:rPr>
            </w:pPr>
            <w:r w:rsidRPr="00B11E8F">
              <w:rPr>
                <w:sz w:val="22"/>
                <w:szCs w:val="22"/>
              </w:rPr>
              <w:t>9.632</w:t>
            </w:r>
          </w:p>
        </w:tc>
        <w:tc>
          <w:tcPr>
            <w:tcW w:w="1260" w:type="dxa"/>
            <w:tcBorders>
              <w:bottom w:val="double" w:sz="4" w:space="0" w:color="auto"/>
            </w:tcBorders>
            <w:noWrap/>
            <w:vAlign w:val="bottom"/>
          </w:tcPr>
          <w:p w:rsidR="007124F0" w:rsidRPr="00B11E8F" w:rsidRDefault="007124F0" w:rsidP="007124F0">
            <w:pPr>
              <w:jc w:val="center"/>
              <w:rPr>
                <w:sz w:val="22"/>
                <w:szCs w:val="22"/>
              </w:rPr>
            </w:pPr>
            <w:r w:rsidRPr="00B11E8F">
              <w:rPr>
                <w:sz w:val="22"/>
                <w:szCs w:val="22"/>
              </w:rPr>
              <w:t>4.277</w:t>
            </w:r>
          </w:p>
        </w:tc>
        <w:tc>
          <w:tcPr>
            <w:tcW w:w="1360" w:type="dxa"/>
            <w:tcBorders>
              <w:bottom w:val="double" w:sz="4" w:space="0" w:color="auto"/>
            </w:tcBorders>
            <w:noWrap/>
            <w:vAlign w:val="bottom"/>
          </w:tcPr>
          <w:p w:rsidR="007124F0" w:rsidRPr="00B11E8F" w:rsidRDefault="007124F0" w:rsidP="007124F0">
            <w:pPr>
              <w:jc w:val="center"/>
              <w:rPr>
                <w:sz w:val="22"/>
                <w:szCs w:val="22"/>
              </w:rPr>
            </w:pPr>
            <w:r w:rsidRPr="00B11E8F">
              <w:rPr>
                <w:sz w:val="22"/>
                <w:szCs w:val="22"/>
              </w:rPr>
              <w:t>12.384</w:t>
            </w:r>
          </w:p>
        </w:tc>
      </w:tr>
    </w:tbl>
    <w:p w:rsidR="007124F0" w:rsidRPr="00FD4A39" w:rsidRDefault="007124F0" w:rsidP="007124F0">
      <w:pPr>
        <w:jc w:val="both"/>
        <w:rPr>
          <w:sz w:val="22"/>
          <w:szCs w:val="22"/>
        </w:rPr>
      </w:pPr>
    </w:p>
    <w:p w:rsidR="007124F0" w:rsidRPr="007A3F94" w:rsidRDefault="007124F0" w:rsidP="007124F0">
      <w:r w:rsidRPr="00FD4A39">
        <w:rPr>
          <w:sz w:val="22"/>
          <w:szCs w:val="22"/>
        </w:rPr>
        <w:br w:type="page"/>
      </w:r>
      <w:r w:rsidRPr="007A3F94">
        <w:lastRenderedPageBreak/>
        <w:t>Table 9 – Investments: Treated and Control Firms</w:t>
      </w:r>
    </w:p>
    <w:p w:rsidR="007124F0" w:rsidRPr="00FD4A39" w:rsidRDefault="007124F0" w:rsidP="007124F0">
      <w:pPr>
        <w:rPr>
          <w:sz w:val="22"/>
          <w:szCs w:val="22"/>
        </w:rPr>
      </w:pPr>
    </w:p>
    <w:p w:rsidR="007124F0" w:rsidRPr="00FD4A39" w:rsidRDefault="007124F0" w:rsidP="007124F0">
      <w:pPr>
        <w:jc w:val="both"/>
        <w:rPr>
          <w:sz w:val="22"/>
          <w:szCs w:val="22"/>
        </w:rPr>
      </w:pPr>
      <w:r w:rsidRPr="00FD4A39">
        <w:rPr>
          <w:sz w:val="22"/>
          <w:szCs w:val="22"/>
        </w:rPr>
        <w:t>This table reports average investment</w:t>
      </w:r>
      <w:r>
        <w:rPr>
          <w:sz w:val="22"/>
          <w:szCs w:val="22"/>
        </w:rPr>
        <w:t>s</w:t>
      </w:r>
      <w:r w:rsidRPr="00FD4A39">
        <w:rPr>
          <w:sz w:val="22"/>
          <w:szCs w:val="22"/>
        </w:rPr>
        <w:t xml:space="preserve"> (in percentage points) measured 12, 24 and 36 months after the </w:t>
      </w:r>
      <w:r>
        <w:rPr>
          <w:sz w:val="22"/>
          <w:szCs w:val="22"/>
        </w:rPr>
        <w:t>reference</w:t>
      </w:r>
      <w:r w:rsidRPr="00FD4A39">
        <w:rPr>
          <w:sz w:val="22"/>
          <w:szCs w:val="22"/>
        </w:rPr>
        <w:t xml:space="preserve"> period for treated and control </w:t>
      </w:r>
      <w:r>
        <w:rPr>
          <w:sz w:val="22"/>
          <w:szCs w:val="22"/>
        </w:rPr>
        <w:t>firms</w:t>
      </w:r>
      <w:r w:rsidRPr="00FD4A39">
        <w:rPr>
          <w:sz w:val="22"/>
          <w:szCs w:val="22"/>
        </w:rPr>
        <w:t xml:space="preserve">. </w:t>
      </w:r>
      <w:r>
        <w:rPr>
          <w:sz w:val="22"/>
          <w:szCs w:val="22"/>
        </w:rPr>
        <w:t xml:space="preserve">The table also reports difference in average investments for the two groups of treated and control firms. </w:t>
      </w:r>
      <w:r w:rsidRPr="00FD4A39">
        <w:rPr>
          <w:sz w:val="22"/>
          <w:szCs w:val="22"/>
        </w:rPr>
        <w:t xml:space="preserve">In Panel A, the treated (control) </w:t>
      </w:r>
      <w:r>
        <w:rPr>
          <w:sz w:val="22"/>
          <w:szCs w:val="22"/>
        </w:rPr>
        <w:t>firms</w:t>
      </w:r>
      <w:r w:rsidRPr="00FD4A39">
        <w:rPr>
          <w:sz w:val="22"/>
          <w:szCs w:val="22"/>
        </w:rPr>
        <w:t xml:space="preserve"> are those with </w:t>
      </w:r>
      <w:r w:rsidRPr="00FD4A39">
        <w:rPr>
          <w:i/>
          <w:sz w:val="22"/>
          <w:szCs w:val="22"/>
        </w:rPr>
        <w:t>SecuredMarketLeverage</w:t>
      </w:r>
      <w:r w:rsidRPr="00FD4A39">
        <w:rPr>
          <w:sz w:val="22"/>
          <w:szCs w:val="22"/>
        </w:rPr>
        <w:t xml:space="preserve"> above (below) the sample median. In Panel B, the treated (control) </w:t>
      </w:r>
      <w:r>
        <w:rPr>
          <w:sz w:val="22"/>
          <w:szCs w:val="22"/>
        </w:rPr>
        <w:t>firms</w:t>
      </w:r>
      <w:r w:rsidRPr="00FD4A39">
        <w:rPr>
          <w:sz w:val="22"/>
          <w:szCs w:val="22"/>
        </w:rPr>
        <w:t xml:space="preserve"> are those with </w:t>
      </w:r>
      <w:r w:rsidRPr="00FD4A39">
        <w:rPr>
          <w:i/>
          <w:sz w:val="22"/>
          <w:szCs w:val="22"/>
        </w:rPr>
        <w:t>SecuredBookLeverage</w:t>
      </w:r>
      <w:r w:rsidRPr="00FD4A39">
        <w:rPr>
          <w:sz w:val="22"/>
          <w:szCs w:val="22"/>
        </w:rPr>
        <w:t xml:space="preserve"> above (below) the sample median. Each treated </w:t>
      </w:r>
      <w:r>
        <w:rPr>
          <w:sz w:val="22"/>
          <w:szCs w:val="22"/>
        </w:rPr>
        <w:t>firm</w:t>
      </w:r>
      <w:r w:rsidRPr="00FD4A39">
        <w:rPr>
          <w:sz w:val="22"/>
          <w:szCs w:val="22"/>
        </w:rPr>
        <w:t xml:space="preserve"> is matched with </w:t>
      </w:r>
      <w:r>
        <w:rPr>
          <w:sz w:val="22"/>
          <w:szCs w:val="22"/>
        </w:rPr>
        <w:t>two</w:t>
      </w:r>
      <w:r w:rsidRPr="00FD4A39">
        <w:rPr>
          <w:sz w:val="22"/>
          <w:szCs w:val="22"/>
        </w:rPr>
        <w:t xml:space="preserve"> control </w:t>
      </w:r>
      <w:r>
        <w:rPr>
          <w:sz w:val="22"/>
          <w:szCs w:val="22"/>
        </w:rPr>
        <w:t>firms</w:t>
      </w:r>
      <w:r w:rsidRPr="00FD4A39">
        <w:rPr>
          <w:sz w:val="22"/>
          <w:szCs w:val="22"/>
        </w:rPr>
        <w:t xml:space="preserve"> identified as the closest matches based on </w:t>
      </w:r>
      <w:r>
        <w:rPr>
          <w:i/>
          <w:sz w:val="22"/>
          <w:szCs w:val="22"/>
        </w:rPr>
        <w:t>q</w:t>
      </w:r>
      <w:r w:rsidRPr="00FD4A39">
        <w:rPr>
          <w:sz w:val="22"/>
          <w:szCs w:val="22"/>
        </w:rPr>
        <w:t>, size, profitab</w:t>
      </w:r>
      <w:r>
        <w:rPr>
          <w:sz w:val="22"/>
          <w:szCs w:val="22"/>
        </w:rPr>
        <w:t xml:space="preserve">ility, earnings volatility, </w:t>
      </w:r>
      <w:r w:rsidRPr="00FD4A39">
        <w:rPr>
          <w:sz w:val="22"/>
          <w:szCs w:val="22"/>
        </w:rPr>
        <w:t>age</w:t>
      </w:r>
      <w:r>
        <w:rPr>
          <w:sz w:val="22"/>
          <w:szCs w:val="22"/>
        </w:rPr>
        <w:t>, and industry segment</w:t>
      </w:r>
      <w:r w:rsidRPr="00FD4A39">
        <w:rPr>
          <w:sz w:val="22"/>
          <w:szCs w:val="22"/>
        </w:rPr>
        <w:t xml:space="preserve"> using the Abadia-Imbens matching estimator as well as a bias-corrected version of the same estimator. </w:t>
      </w:r>
      <w:r w:rsidRPr="00FD4A39">
        <w:rPr>
          <w:rFonts w:cs="Arial"/>
          <w:i/>
          <w:sz w:val="22"/>
          <w:szCs w:val="22"/>
        </w:rPr>
        <w:t>Total</w:t>
      </w:r>
      <w:r>
        <w:rPr>
          <w:rFonts w:cs="Arial"/>
          <w:i/>
          <w:sz w:val="22"/>
          <w:szCs w:val="22"/>
        </w:rPr>
        <w:t>-Investment</w:t>
      </w:r>
      <w:r w:rsidRPr="00FD4A39">
        <w:rPr>
          <w:rFonts w:cs="Arial"/>
          <w:b/>
          <w:i/>
          <w:sz w:val="22"/>
          <w:szCs w:val="22"/>
          <w:vertAlign w:val="subscript"/>
        </w:rPr>
        <w:t>t+</w:t>
      </w:r>
      <w:r>
        <w:rPr>
          <w:rFonts w:cs="Arial"/>
          <w:b/>
          <w:i/>
          <w:sz w:val="22"/>
          <w:szCs w:val="22"/>
          <w:vertAlign w:val="subscript"/>
        </w:rPr>
        <w:t>12</w:t>
      </w:r>
      <w:r w:rsidRPr="00FD4A39">
        <w:rPr>
          <w:rFonts w:cs="Arial"/>
          <w:sz w:val="22"/>
          <w:szCs w:val="22"/>
        </w:rPr>
        <w:t xml:space="preserve"> is measured as the percentage change in real estate </w:t>
      </w:r>
      <w:r>
        <w:rPr>
          <w:rFonts w:cs="Arial"/>
          <w:sz w:val="22"/>
          <w:szCs w:val="22"/>
        </w:rPr>
        <w:t>assets</w:t>
      </w:r>
      <w:r w:rsidRPr="00FD4A39">
        <w:rPr>
          <w:rFonts w:cs="Arial"/>
          <w:sz w:val="22"/>
          <w:szCs w:val="22"/>
        </w:rPr>
        <w:t xml:space="preserve"> – SNL item #4338 – in the </w:t>
      </w:r>
      <w:r>
        <w:rPr>
          <w:rFonts w:cs="Arial"/>
          <w:sz w:val="22"/>
          <w:szCs w:val="22"/>
        </w:rPr>
        <w:t>12</w:t>
      </w:r>
      <w:r w:rsidRPr="00FD4A39">
        <w:rPr>
          <w:rFonts w:cs="Arial"/>
          <w:sz w:val="22"/>
          <w:szCs w:val="22"/>
        </w:rPr>
        <w:t xml:space="preserve"> months after the matching period. </w:t>
      </w:r>
      <w:r>
        <w:rPr>
          <w:rFonts w:cs="Arial"/>
          <w:sz w:val="22"/>
          <w:szCs w:val="22"/>
        </w:rPr>
        <w:t xml:space="preserve">We use a similar definition for investments measured 24 and 36 months after the matching period. </w:t>
      </w:r>
      <w:r>
        <w:rPr>
          <w:sz w:val="22"/>
          <w:szCs w:val="22"/>
        </w:rPr>
        <w:t xml:space="preserve">Refer to Table 4 for details on sample construction and variable definitions. </w:t>
      </w:r>
      <w:r w:rsidRPr="00FD4A39">
        <w:rPr>
          <w:sz w:val="22"/>
          <w:szCs w:val="22"/>
        </w:rPr>
        <w:t>Standard errors reported in parentheses are based on heteroskedastic consistent errors.</w:t>
      </w:r>
    </w:p>
    <w:p w:rsidR="007124F0" w:rsidRPr="00FD4A39" w:rsidRDefault="007124F0" w:rsidP="007124F0">
      <w:pPr>
        <w:jc w:val="both"/>
        <w:rPr>
          <w:sz w:val="22"/>
          <w:szCs w:val="22"/>
        </w:rPr>
      </w:pPr>
    </w:p>
    <w:tbl>
      <w:tblPr>
        <w:tblW w:w="9476" w:type="dxa"/>
        <w:tblLook w:val="0000"/>
      </w:tblPr>
      <w:tblGrid>
        <w:gridCol w:w="3368"/>
        <w:gridCol w:w="1320"/>
        <w:gridCol w:w="1229"/>
        <w:gridCol w:w="1739"/>
        <w:gridCol w:w="1820"/>
      </w:tblGrid>
      <w:tr w:rsidR="007124F0" w:rsidRPr="00FD4A39" w:rsidTr="007124F0">
        <w:trPr>
          <w:trHeight w:val="264"/>
        </w:trPr>
        <w:tc>
          <w:tcPr>
            <w:tcW w:w="3368" w:type="dxa"/>
            <w:tcBorders>
              <w:top w:val="double" w:sz="4" w:space="0" w:color="auto"/>
              <w:bottom w:val="single" w:sz="4" w:space="0" w:color="auto"/>
            </w:tcBorders>
            <w:noWrap/>
            <w:vAlign w:val="bottom"/>
          </w:tcPr>
          <w:p w:rsidR="007124F0" w:rsidRPr="00FD4A39" w:rsidRDefault="007124F0" w:rsidP="007124F0">
            <w:pPr>
              <w:rPr>
                <w:rFonts w:cs="Arial"/>
                <w:b/>
                <w:sz w:val="22"/>
                <w:szCs w:val="22"/>
              </w:rPr>
            </w:pPr>
          </w:p>
          <w:p w:rsidR="007124F0" w:rsidRPr="00FD4A39" w:rsidRDefault="007124F0" w:rsidP="007124F0">
            <w:pPr>
              <w:rPr>
                <w:rFonts w:cs="Arial"/>
                <w:b/>
                <w:sz w:val="22"/>
                <w:szCs w:val="22"/>
              </w:rPr>
            </w:pPr>
            <w:r w:rsidRPr="00FD4A39">
              <w:rPr>
                <w:rFonts w:cs="Arial"/>
                <w:b/>
                <w:sz w:val="22"/>
                <w:szCs w:val="22"/>
              </w:rPr>
              <w:t xml:space="preserve">Panel A – Treatment: </w:t>
            </w:r>
            <w:r w:rsidRPr="00FD4A39">
              <w:rPr>
                <w:rFonts w:cs="Arial"/>
                <w:b/>
                <w:i/>
                <w:sz w:val="22"/>
                <w:szCs w:val="22"/>
              </w:rPr>
              <w:t>SecuredMarketLeverage</w:t>
            </w:r>
            <w:r w:rsidRPr="00FD4A39">
              <w:rPr>
                <w:rFonts w:cs="Arial"/>
                <w:b/>
                <w:sz w:val="22"/>
                <w:szCs w:val="22"/>
              </w:rPr>
              <w:t>&gt;Median</w:t>
            </w:r>
          </w:p>
          <w:p w:rsidR="007124F0" w:rsidRPr="00FD4A39" w:rsidRDefault="007124F0" w:rsidP="007124F0">
            <w:pPr>
              <w:rPr>
                <w:rFonts w:cs="Arial"/>
                <w:b/>
                <w:sz w:val="22"/>
                <w:szCs w:val="22"/>
              </w:rPr>
            </w:pPr>
          </w:p>
        </w:tc>
        <w:tc>
          <w:tcPr>
            <w:tcW w:w="1320"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 xml:space="preserve">Treated </w:t>
            </w:r>
            <w:r>
              <w:rPr>
                <w:rFonts w:cs="Arial"/>
                <w:sz w:val="22"/>
                <w:szCs w:val="22"/>
              </w:rPr>
              <w:t>Firm</w:t>
            </w:r>
          </w:p>
          <w:p w:rsidR="007124F0" w:rsidRPr="00FD4A39" w:rsidRDefault="007124F0" w:rsidP="007124F0">
            <w:pPr>
              <w:jc w:val="center"/>
              <w:rPr>
                <w:rFonts w:cs="Arial"/>
                <w:sz w:val="22"/>
                <w:szCs w:val="22"/>
              </w:rPr>
            </w:pPr>
          </w:p>
        </w:tc>
        <w:tc>
          <w:tcPr>
            <w:tcW w:w="1229"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 xml:space="preserve">Control </w:t>
            </w:r>
            <w:r>
              <w:rPr>
                <w:rFonts w:cs="Arial"/>
                <w:sz w:val="22"/>
                <w:szCs w:val="22"/>
              </w:rPr>
              <w:t>Firm</w:t>
            </w:r>
          </w:p>
          <w:p w:rsidR="007124F0" w:rsidRPr="00FD4A39" w:rsidRDefault="007124F0" w:rsidP="007124F0">
            <w:pPr>
              <w:jc w:val="center"/>
              <w:rPr>
                <w:rFonts w:cs="Arial"/>
                <w:sz w:val="22"/>
                <w:szCs w:val="22"/>
              </w:rPr>
            </w:pPr>
          </w:p>
        </w:tc>
        <w:tc>
          <w:tcPr>
            <w:tcW w:w="1739"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Difference</w:t>
            </w:r>
          </w:p>
          <w:p w:rsidR="007124F0" w:rsidRPr="00FD4A39" w:rsidRDefault="007124F0" w:rsidP="007124F0">
            <w:pPr>
              <w:jc w:val="center"/>
              <w:rPr>
                <w:rFonts w:cs="Arial"/>
                <w:sz w:val="22"/>
                <w:szCs w:val="22"/>
              </w:rPr>
            </w:pPr>
          </w:p>
          <w:p w:rsidR="007124F0" w:rsidRPr="00FD4A39" w:rsidRDefault="007124F0" w:rsidP="007124F0">
            <w:pPr>
              <w:jc w:val="center"/>
              <w:rPr>
                <w:rFonts w:cs="Arial"/>
                <w:sz w:val="22"/>
                <w:szCs w:val="22"/>
              </w:rPr>
            </w:pPr>
          </w:p>
        </w:tc>
        <w:tc>
          <w:tcPr>
            <w:tcW w:w="1820"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Difference</w:t>
            </w:r>
          </w:p>
          <w:p w:rsidR="007124F0" w:rsidRPr="00FD4A39" w:rsidRDefault="007124F0" w:rsidP="007124F0">
            <w:pPr>
              <w:jc w:val="center"/>
              <w:rPr>
                <w:rFonts w:cs="Arial"/>
                <w:sz w:val="22"/>
                <w:szCs w:val="22"/>
              </w:rPr>
            </w:pPr>
            <w:r w:rsidRPr="00FD4A39">
              <w:rPr>
                <w:rFonts w:cs="Arial"/>
                <w:sz w:val="22"/>
                <w:szCs w:val="22"/>
              </w:rPr>
              <w:t>(Bias-Corrected)</w:t>
            </w:r>
          </w:p>
          <w:p w:rsidR="007124F0" w:rsidRPr="00FD4A39" w:rsidRDefault="007124F0" w:rsidP="007124F0">
            <w:pPr>
              <w:jc w:val="center"/>
              <w:rPr>
                <w:rFonts w:cs="Arial"/>
                <w:sz w:val="22"/>
                <w:szCs w:val="22"/>
              </w:rPr>
            </w:pPr>
          </w:p>
        </w:tc>
      </w:tr>
      <w:tr w:rsidR="007124F0" w:rsidRPr="00FD4A39" w:rsidTr="007124F0">
        <w:trPr>
          <w:trHeight w:val="264"/>
        </w:trPr>
        <w:tc>
          <w:tcPr>
            <w:tcW w:w="3368" w:type="dxa"/>
            <w:tcBorders>
              <w:top w:val="single" w:sz="4" w:space="0" w:color="auto"/>
            </w:tcBorders>
            <w:noWrap/>
            <w:vAlign w:val="bottom"/>
          </w:tcPr>
          <w:p w:rsidR="007124F0" w:rsidRPr="00FD4A39" w:rsidRDefault="007124F0" w:rsidP="007124F0">
            <w:pPr>
              <w:rPr>
                <w:rFonts w:cs="Arial"/>
                <w:i/>
                <w:sz w:val="22"/>
                <w:szCs w:val="22"/>
              </w:rPr>
            </w:pPr>
            <w:r w:rsidRPr="00FD4A39">
              <w:rPr>
                <w:rFonts w:cs="Arial"/>
                <w:i/>
                <w:sz w:val="22"/>
                <w:szCs w:val="22"/>
              </w:rPr>
              <w:t>Total</w:t>
            </w:r>
            <w:r>
              <w:rPr>
                <w:rFonts w:cs="Arial"/>
                <w:i/>
                <w:sz w:val="22"/>
                <w:szCs w:val="22"/>
              </w:rPr>
              <w:t>-Investment</w:t>
            </w:r>
            <w:r w:rsidRPr="00FD4A39">
              <w:rPr>
                <w:rFonts w:cs="Arial"/>
                <w:b/>
                <w:i/>
                <w:sz w:val="22"/>
                <w:szCs w:val="22"/>
                <w:vertAlign w:val="subscript"/>
              </w:rPr>
              <w:t>t+12</w:t>
            </w:r>
          </w:p>
        </w:tc>
        <w:tc>
          <w:tcPr>
            <w:tcW w:w="1320" w:type="dxa"/>
            <w:tcBorders>
              <w:top w:val="single" w:sz="4" w:space="0" w:color="auto"/>
            </w:tcBorders>
            <w:noWrap/>
            <w:vAlign w:val="bottom"/>
          </w:tcPr>
          <w:p w:rsidR="007124F0" w:rsidRPr="003C62E0" w:rsidRDefault="007124F0" w:rsidP="007124F0">
            <w:pPr>
              <w:jc w:val="center"/>
              <w:rPr>
                <w:rFonts w:cs="Arial"/>
                <w:sz w:val="22"/>
                <w:szCs w:val="22"/>
              </w:rPr>
            </w:pPr>
            <w:r w:rsidRPr="003C62E0">
              <w:rPr>
                <w:rFonts w:cs="Arial"/>
                <w:sz w:val="22"/>
                <w:szCs w:val="22"/>
              </w:rPr>
              <w:t>12</w:t>
            </w:r>
            <w:r>
              <w:rPr>
                <w:rFonts w:cs="Arial"/>
                <w:sz w:val="22"/>
                <w:szCs w:val="22"/>
              </w:rPr>
              <w:t>.</w:t>
            </w:r>
            <w:r w:rsidRPr="003C62E0">
              <w:rPr>
                <w:rFonts w:cs="Arial"/>
                <w:sz w:val="22"/>
                <w:szCs w:val="22"/>
              </w:rPr>
              <w:t>37</w:t>
            </w:r>
          </w:p>
        </w:tc>
        <w:tc>
          <w:tcPr>
            <w:tcW w:w="1229" w:type="dxa"/>
            <w:tcBorders>
              <w:top w:val="single" w:sz="4" w:space="0" w:color="auto"/>
            </w:tcBorders>
            <w:noWrap/>
            <w:vAlign w:val="bottom"/>
          </w:tcPr>
          <w:p w:rsidR="007124F0" w:rsidRPr="003C62E0" w:rsidRDefault="007124F0" w:rsidP="007124F0">
            <w:pPr>
              <w:jc w:val="center"/>
              <w:rPr>
                <w:rFonts w:cs="Arial"/>
                <w:sz w:val="22"/>
                <w:szCs w:val="22"/>
              </w:rPr>
            </w:pPr>
            <w:r w:rsidRPr="003C62E0">
              <w:rPr>
                <w:rFonts w:cs="Arial"/>
                <w:sz w:val="22"/>
                <w:szCs w:val="22"/>
              </w:rPr>
              <w:t>17</w:t>
            </w:r>
            <w:r>
              <w:rPr>
                <w:rFonts w:cs="Arial"/>
                <w:sz w:val="22"/>
                <w:szCs w:val="22"/>
              </w:rPr>
              <w:t>.</w:t>
            </w:r>
            <w:r w:rsidRPr="003C62E0">
              <w:rPr>
                <w:rFonts w:cs="Arial"/>
                <w:sz w:val="22"/>
                <w:szCs w:val="22"/>
              </w:rPr>
              <w:t>2</w:t>
            </w:r>
            <w:r>
              <w:rPr>
                <w:rFonts w:cs="Arial"/>
                <w:sz w:val="22"/>
                <w:szCs w:val="22"/>
              </w:rPr>
              <w:t>5</w:t>
            </w:r>
          </w:p>
        </w:tc>
        <w:tc>
          <w:tcPr>
            <w:tcW w:w="1739" w:type="dxa"/>
            <w:tcBorders>
              <w:top w:val="single" w:sz="4" w:space="0" w:color="auto"/>
            </w:tcBorders>
            <w:noWrap/>
            <w:vAlign w:val="bottom"/>
          </w:tcPr>
          <w:p w:rsidR="007124F0" w:rsidRPr="00FD4A39" w:rsidRDefault="007124F0" w:rsidP="007124F0">
            <w:pPr>
              <w:jc w:val="center"/>
              <w:rPr>
                <w:rFonts w:cs="Arial"/>
                <w:sz w:val="22"/>
                <w:szCs w:val="22"/>
              </w:rPr>
            </w:pPr>
            <w:r w:rsidRPr="003C62E0">
              <w:rPr>
                <w:rFonts w:cs="Arial"/>
                <w:sz w:val="22"/>
                <w:szCs w:val="22"/>
              </w:rPr>
              <w:t>-4</w:t>
            </w:r>
            <w:r>
              <w:rPr>
                <w:rFonts w:cs="Arial"/>
                <w:sz w:val="22"/>
                <w:szCs w:val="22"/>
              </w:rPr>
              <w:t>.</w:t>
            </w:r>
            <w:r w:rsidRPr="003C62E0">
              <w:rPr>
                <w:rFonts w:cs="Arial"/>
                <w:sz w:val="22"/>
                <w:szCs w:val="22"/>
              </w:rPr>
              <w:t>8</w:t>
            </w:r>
            <w:r>
              <w:rPr>
                <w:rFonts w:cs="Arial"/>
                <w:sz w:val="22"/>
                <w:szCs w:val="22"/>
              </w:rPr>
              <w:t>8</w:t>
            </w:r>
            <w:r w:rsidRPr="00FD4A39">
              <w:rPr>
                <w:rFonts w:cs="Arial"/>
                <w:sz w:val="22"/>
                <w:szCs w:val="22"/>
              </w:rPr>
              <w:t>***</w:t>
            </w:r>
          </w:p>
        </w:tc>
        <w:tc>
          <w:tcPr>
            <w:tcW w:w="1820" w:type="dxa"/>
            <w:tcBorders>
              <w:top w:val="single" w:sz="4" w:space="0" w:color="auto"/>
            </w:tcBorders>
            <w:noWrap/>
            <w:vAlign w:val="bottom"/>
          </w:tcPr>
          <w:p w:rsidR="007124F0" w:rsidRPr="00FD4A39" w:rsidRDefault="007124F0" w:rsidP="007124F0">
            <w:pPr>
              <w:jc w:val="center"/>
              <w:rPr>
                <w:rFonts w:cs="Arial"/>
                <w:sz w:val="22"/>
                <w:szCs w:val="22"/>
              </w:rPr>
            </w:pPr>
            <w:r w:rsidRPr="003C62E0">
              <w:rPr>
                <w:rFonts w:cs="Arial"/>
                <w:sz w:val="22"/>
                <w:szCs w:val="22"/>
              </w:rPr>
              <w:t>-5</w:t>
            </w:r>
            <w:r>
              <w:rPr>
                <w:rFonts w:cs="Arial"/>
                <w:sz w:val="22"/>
                <w:szCs w:val="22"/>
              </w:rPr>
              <w:t>.</w:t>
            </w:r>
            <w:r w:rsidRPr="003C62E0">
              <w:rPr>
                <w:rFonts w:cs="Arial"/>
                <w:sz w:val="22"/>
                <w:szCs w:val="22"/>
              </w:rPr>
              <w:t>68</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1</w:t>
            </w:r>
            <w:r>
              <w:rPr>
                <w:rFonts w:cs="Arial"/>
                <w:sz w:val="22"/>
                <w:szCs w:val="22"/>
              </w:rPr>
              <w:t>.</w:t>
            </w:r>
            <w:r w:rsidRPr="003C62E0">
              <w:rPr>
                <w:rFonts w:cs="Arial"/>
                <w:sz w:val="22"/>
                <w:szCs w:val="22"/>
              </w:rPr>
              <w:t>50</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1</w:t>
            </w:r>
            <w:r>
              <w:rPr>
                <w:rFonts w:cs="Arial"/>
                <w:sz w:val="22"/>
                <w:szCs w:val="22"/>
              </w:rPr>
              <w:t>.</w:t>
            </w:r>
            <w:r w:rsidRPr="003C62E0">
              <w:rPr>
                <w:rFonts w:cs="Arial"/>
                <w:sz w:val="22"/>
                <w:szCs w:val="22"/>
              </w:rPr>
              <w:t>50</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Total</w:t>
            </w:r>
            <w:r>
              <w:rPr>
                <w:rFonts w:cs="Arial"/>
                <w:i/>
                <w:sz w:val="22"/>
                <w:szCs w:val="22"/>
              </w:rPr>
              <w:t>-Investment</w:t>
            </w:r>
            <w:r w:rsidRPr="00FD4A39">
              <w:rPr>
                <w:rFonts w:cs="Arial"/>
                <w:b/>
                <w:i/>
                <w:sz w:val="22"/>
                <w:szCs w:val="22"/>
                <w:vertAlign w:val="subscript"/>
              </w:rPr>
              <w:t>t+24</w:t>
            </w:r>
          </w:p>
        </w:tc>
        <w:tc>
          <w:tcPr>
            <w:tcW w:w="1320" w:type="dxa"/>
            <w:noWrap/>
            <w:vAlign w:val="bottom"/>
          </w:tcPr>
          <w:p w:rsidR="007124F0" w:rsidRPr="003C62E0" w:rsidRDefault="007124F0" w:rsidP="007124F0">
            <w:pPr>
              <w:jc w:val="center"/>
              <w:rPr>
                <w:rFonts w:cs="Arial"/>
                <w:sz w:val="22"/>
                <w:szCs w:val="22"/>
              </w:rPr>
            </w:pPr>
            <w:r w:rsidRPr="003C62E0">
              <w:rPr>
                <w:rFonts w:cs="Arial"/>
                <w:sz w:val="22"/>
                <w:szCs w:val="22"/>
              </w:rPr>
              <w:t>24</w:t>
            </w:r>
            <w:r>
              <w:rPr>
                <w:rFonts w:cs="Arial"/>
                <w:sz w:val="22"/>
                <w:szCs w:val="22"/>
              </w:rPr>
              <w:t>.</w:t>
            </w:r>
            <w:r w:rsidRPr="003C62E0">
              <w:rPr>
                <w:rFonts w:cs="Arial"/>
                <w:sz w:val="22"/>
                <w:szCs w:val="22"/>
              </w:rPr>
              <w:t>69</w:t>
            </w:r>
          </w:p>
        </w:tc>
        <w:tc>
          <w:tcPr>
            <w:tcW w:w="1229" w:type="dxa"/>
            <w:noWrap/>
            <w:vAlign w:val="bottom"/>
          </w:tcPr>
          <w:p w:rsidR="007124F0" w:rsidRPr="003C62E0" w:rsidRDefault="007124F0" w:rsidP="007124F0">
            <w:pPr>
              <w:jc w:val="center"/>
              <w:rPr>
                <w:rFonts w:cs="Arial"/>
                <w:sz w:val="22"/>
                <w:szCs w:val="22"/>
              </w:rPr>
            </w:pPr>
            <w:r w:rsidRPr="003C62E0">
              <w:rPr>
                <w:rFonts w:cs="Arial"/>
                <w:sz w:val="22"/>
                <w:szCs w:val="22"/>
              </w:rPr>
              <w:t>32</w:t>
            </w:r>
            <w:r>
              <w:rPr>
                <w:rFonts w:cs="Arial"/>
                <w:sz w:val="22"/>
                <w:szCs w:val="22"/>
              </w:rPr>
              <w:t>.40</w:t>
            </w:r>
          </w:p>
        </w:tc>
        <w:tc>
          <w:tcPr>
            <w:tcW w:w="1739" w:type="dxa"/>
            <w:noWrap/>
            <w:vAlign w:val="bottom"/>
          </w:tcPr>
          <w:p w:rsidR="007124F0" w:rsidRPr="00FD4A39" w:rsidRDefault="007124F0" w:rsidP="007124F0">
            <w:pPr>
              <w:jc w:val="center"/>
              <w:rPr>
                <w:rFonts w:cs="Arial"/>
                <w:sz w:val="22"/>
                <w:szCs w:val="22"/>
              </w:rPr>
            </w:pPr>
            <w:r w:rsidRPr="003C62E0">
              <w:rPr>
                <w:rFonts w:cs="Arial"/>
                <w:sz w:val="22"/>
                <w:szCs w:val="22"/>
              </w:rPr>
              <w:t>-7</w:t>
            </w:r>
            <w:r>
              <w:rPr>
                <w:rFonts w:cs="Arial"/>
                <w:sz w:val="22"/>
                <w:szCs w:val="22"/>
              </w:rPr>
              <w:t>.</w:t>
            </w:r>
            <w:r w:rsidRPr="003C62E0">
              <w:rPr>
                <w:rFonts w:cs="Arial"/>
                <w:sz w:val="22"/>
                <w:szCs w:val="22"/>
              </w:rPr>
              <w:t>70</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3C62E0">
              <w:rPr>
                <w:rFonts w:cs="Arial"/>
                <w:sz w:val="22"/>
                <w:szCs w:val="22"/>
              </w:rPr>
              <w:t>-8</w:t>
            </w:r>
            <w:r>
              <w:rPr>
                <w:rFonts w:cs="Arial"/>
                <w:sz w:val="22"/>
                <w:szCs w:val="22"/>
              </w:rPr>
              <w:t>.</w:t>
            </w:r>
            <w:r w:rsidRPr="003C62E0">
              <w:rPr>
                <w:rFonts w:cs="Arial"/>
                <w:sz w:val="22"/>
                <w:szCs w:val="22"/>
              </w:rPr>
              <w:t>9</w:t>
            </w:r>
            <w:r>
              <w:rPr>
                <w:rFonts w:cs="Arial"/>
                <w:sz w:val="22"/>
                <w:szCs w:val="22"/>
              </w:rPr>
              <w:t>5</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2</w:t>
            </w:r>
            <w:r>
              <w:rPr>
                <w:rFonts w:cs="Arial"/>
                <w:sz w:val="22"/>
                <w:szCs w:val="22"/>
              </w:rPr>
              <w:t>.</w:t>
            </w:r>
            <w:r w:rsidRPr="003C62E0">
              <w:rPr>
                <w:rFonts w:cs="Arial"/>
                <w:sz w:val="22"/>
                <w:szCs w:val="22"/>
              </w:rPr>
              <w:t>95</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2</w:t>
            </w:r>
            <w:r>
              <w:rPr>
                <w:rFonts w:cs="Arial"/>
                <w:sz w:val="22"/>
                <w:szCs w:val="22"/>
              </w:rPr>
              <w:t>.</w:t>
            </w:r>
            <w:r w:rsidRPr="003C62E0">
              <w:rPr>
                <w:rFonts w:cs="Arial"/>
                <w:sz w:val="22"/>
                <w:szCs w:val="22"/>
              </w:rPr>
              <w:t>95</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Total</w:t>
            </w:r>
            <w:r>
              <w:rPr>
                <w:rFonts w:cs="Arial"/>
                <w:i/>
                <w:sz w:val="22"/>
                <w:szCs w:val="22"/>
              </w:rPr>
              <w:t>-Investment</w:t>
            </w:r>
            <w:r w:rsidRPr="00FD4A39">
              <w:rPr>
                <w:rFonts w:cs="Arial"/>
                <w:b/>
                <w:i/>
                <w:sz w:val="22"/>
                <w:szCs w:val="22"/>
                <w:vertAlign w:val="subscript"/>
              </w:rPr>
              <w:t>t+36</w:t>
            </w:r>
          </w:p>
        </w:tc>
        <w:tc>
          <w:tcPr>
            <w:tcW w:w="1320" w:type="dxa"/>
            <w:noWrap/>
            <w:vAlign w:val="bottom"/>
          </w:tcPr>
          <w:p w:rsidR="007124F0" w:rsidRPr="003C62E0" w:rsidRDefault="007124F0" w:rsidP="007124F0">
            <w:pPr>
              <w:jc w:val="center"/>
              <w:rPr>
                <w:rFonts w:cs="Arial"/>
                <w:sz w:val="22"/>
                <w:szCs w:val="22"/>
              </w:rPr>
            </w:pPr>
            <w:r w:rsidRPr="003C62E0">
              <w:rPr>
                <w:rFonts w:cs="Arial"/>
                <w:sz w:val="22"/>
                <w:szCs w:val="22"/>
              </w:rPr>
              <w:t>42</w:t>
            </w:r>
            <w:r>
              <w:rPr>
                <w:rFonts w:cs="Arial"/>
                <w:sz w:val="22"/>
                <w:szCs w:val="22"/>
              </w:rPr>
              <w:t>.</w:t>
            </w:r>
            <w:r w:rsidRPr="003C62E0">
              <w:rPr>
                <w:rFonts w:cs="Arial"/>
                <w:sz w:val="22"/>
                <w:szCs w:val="22"/>
              </w:rPr>
              <w:t>9</w:t>
            </w:r>
            <w:r>
              <w:rPr>
                <w:rFonts w:cs="Arial"/>
                <w:sz w:val="22"/>
                <w:szCs w:val="22"/>
              </w:rPr>
              <w:t>8</w:t>
            </w:r>
          </w:p>
        </w:tc>
        <w:tc>
          <w:tcPr>
            <w:tcW w:w="1229" w:type="dxa"/>
            <w:noWrap/>
            <w:vAlign w:val="bottom"/>
          </w:tcPr>
          <w:p w:rsidR="007124F0" w:rsidRPr="003C62E0" w:rsidRDefault="007124F0" w:rsidP="007124F0">
            <w:pPr>
              <w:jc w:val="center"/>
              <w:rPr>
                <w:rFonts w:cs="Arial"/>
                <w:sz w:val="22"/>
                <w:szCs w:val="22"/>
              </w:rPr>
            </w:pPr>
            <w:r w:rsidRPr="003C62E0">
              <w:rPr>
                <w:rFonts w:cs="Arial"/>
                <w:sz w:val="22"/>
                <w:szCs w:val="22"/>
              </w:rPr>
              <w:t>56</w:t>
            </w:r>
            <w:r>
              <w:rPr>
                <w:rFonts w:cs="Arial"/>
                <w:sz w:val="22"/>
                <w:szCs w:val="22"/>
              </w:rPr>
              <w:t>.</w:t>
            </w:r>
            <w:r w:rsidRPr="003C62E0">
              <w:rPr>
                <w:rFonts w:cs="Arial"/>
                <w:sz w:val="22"/>
                <w:szCs w:val="22"/>
              </w:rPr>
              <w:t>37</w:t>
            </w:r>
          </w:p>
        </w:tc>
        <w:tc>
          <w:tcPr>
            <w:tcW w:w="1739" w:type="dxa"/>
            <w:noWrap/>
            <w:vAlign w:val="bottom"/>
          </w:tcPr>
          <w:p w:rsidR="007124F0" w:rsidRPr="00FD4A39" w:rsidRDefault="007124F0" w:rsidP="007124F0">
            <w:pPr>
              <w:jc w:val="center"/>
              <w:rPr>
                <w:rFonts w:cs="Arial"/>
                <w:sz w:val="22"/>
                <w:szCs w:val="22"/>
              </w:rPr>
            </w:pPr>
            <w:r w:rsidRPr="003C62E0">
              <w:rPr>
                <w:rFonts w:cs="Arial"/>
                <w:sz w:val="22"/>
                <w:szCs w:val="22"/>
              </w:rPr>
              <w:t>-13</w:t>
            </w:r>
            <w:r>
              <w:rPr>
                <w:rFonts w:cs="Arial"/>
                <w:sz w:val="22"/>
                <w:szCs w:val="22"/>
              </w:rPr>
              <w:t>.40</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3C62E0">
              <w:rPr>
                <w:rFonts w:cs="Arial"/>
                <w:sz w:val="22"/>
                <w:szCs w:val="22"/>
              </w:rPr>
              <w:t>-15</w:t>
            </w:r>
            <w:r>
              <w:rPr>
                <w:rFonts w:cs="Arial"/>
                <w:sz w:val="22"/>
                <w:szCs w:val="22"/>
              </w:rPr>
              <w:t>.</w:t>
            </w:r>
            <w:r w:rsidRPr="003C62E0">
              <w:rPr>
                <w:rFonts w:cs="Arial"/>
                <w:sz w:val="22"/>
                <w:szCs w:val="22"/>
              </w:rPr>
              <w:t>8</w:t>
            </w:r>
            <w:r>
              <w:rPr>
                <w:rFonts w:cs="Arial"/>
                <w:sz w:val="22"/>
                <w:szCs w:val="22"/>
              </w:rPr>
              <w:t>3</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4</w:t>
            </w:r>
            <w:r>
              <w:rPr>
                <w:rFonts w:cs="Arial"/>
                <w:sz w:val="22"/>
                <w:szCs w:val="22"/>
              </w:rPr>
              <w:t>.</w:t>
            </w:r>
            <w:r w:rsidRPr="003C62E0">
              <w:rPr>
                <w:rFonts w:cs="Arial"/>
                <w:sz w:val="22"/>
                <w:szCs w:val="22"/>
              </w:rPr>
              <w:t>22</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4</w:t>
            </w:r>
            <w:r>
              <w:rPr>
                <w:rFonts w:cs="Arial"/>
                <w:sz w:val="22"/>
                <w:szCs w:val="22"/>
              </w:rPr>
              <w:t>.</w:t>
            </w:r>
            <w:r w:rsidRPr="003C62E0">
              <w:rPr>
                <w:rFonts w:cs="Arial"/>
                <w:sz w:val="22"/>
                <w:szCs w:val="22"/>
              </w:rPr>
              <w:t>22</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b/>
                <w:sz w:val="22"/>
                <w:szCs w:val="22"/>
              </w:rPr>
            </w:pPr>
          </w:p>
          <w:p w:rsidR="007124F0" w:rsidRPr="00FD4A39" w:rsidRDefault="007124F0" w:rsidP="007124F0">
            <w:pPr>
              <w:rPr>
                <w:rFonts w:cs="Arial"/>
                <w:b/>
                <w:sz w:val="22"/>
                <w:szCs w:val="22"/>
              </w:rPr>
            </w:pPr>
            <w:r w:rsidRPr="00FD4A39">
              <w:rPr>
                <w:rFonts w:cs="Arial"/>
                <w:b/>
                <w:sz w:val="22"/>
                <w:szCs w:val="22"/>
              </w:rPr>
              <w:t xml:space="preserve">Panel B – Treatment: </w:t>
            </w:r>
            <w:r w:rsidRPr="00FD4A39">
              <w:rPr>
                <w:rFonts w:cs="Arial"/>
                <w:b/>
                <w:i/>
                <w:sz w:val="22"/>
                <w:szCs w:val="22"/>
              </w:rPr>
              <w:t>SecuredBookLeverage</w:t>
            </w:r>
            <w:r w:rsidRPr="00FD4A39">
              <w:rPr>
                <w:rFonts w:cs="Arial"/>
                <w:b/>
                <w:sz w:val="22"/>
                <w:szCs w:val="22"/>
              </w:rPr>
              <w:t>&gt;Median</w:t>
            </w:r>
          </w:p>
          <w:p w:rsidR="007124F0" w:rsidRPr="00FD4A39" w:rsidRDefault="007124F0" w:rsidP="007124F0">
            <w:pPr>
              <w:rPr>
                <w:rFonts w:cs="Arial"/>
                <w:b/>
                <w:sz w:val="22"/>
                <w:szCs w:val="22"/>
              </w:rPr>
            </w:pPr>
          </w:p>
        </w:tc>
        <w:tc>
          <w:tcPr>
            <w:tcW w:w="1320" w:type="dxa"/>
            <w:noWrap/>
            <w:vAlign w:val="bottom"/>
          </w:tcPr>
          <w:p w:rsidR="007124F0" w:rsidRPr="00FD4A39" w:rsidRDefault="007124F0" w:rsidP="007124F0">
            <w:pPr>
              <w:rPr>
                <w:rFonts w:cs="Arial"/>
                <w:sz w:val="22"/>
                <w:szCs w:val="22"/>
              </w:rPr>
            </w:pPr>
          </w:p>
        </w:tc>
        <w:tc>
          <w:tcPr>
            <w:tcW w:w="1229" w:type="dxa"/>
            <w:noWrap/>
            <w:vAlign w:val="bottom"/>
          </w:tcPr>
          <w:p w:rsidR="007124F0" w:rsidRPr="00FD4A39" w:rsidRDefault="007124F0" w:rsidP="007124F0">
            <w:pPr>
              <w:rPr>
                <w:rFonts w:cs="Arial"/>
                <w:sz w:val="22"/>
                <w:szCs w:val="22"/>
              </w:rPr>
            </w:pPr>
          </w:p>
        </w:tc>
        <w:tc>
          <w:tcPr>
            <w:tcW w:w="1739" w:type="dxa"/>
            <w:noWrap/>
            <w:vAlign w:val="bottom"/>
          </w:tcPr>
          <w:p w:rsidR="007124F0" w:rsidRPr="00FD4A39" w:rsidRDefault="007124F0" w:rsidP="007124F0">
            <w:pPr>
              <w:jc w:val="center"/>
              <w:rPr>
                <w:rFonts w:cs="Arial"/>
                <w:sz w:val="22"/>
                <w:szCs w:val="22"/>
              </w:rPr>
            </w:pPr>
          </w:p>
        </w:tc>
        <w:tc>
          <w:tcPr>
            <w:tcW w:w="1820" w:type="dxa"/>
            <w:noWrap/>
            <w:vAlign w:val="bottom"/>
          </w:tcPr>
          <w:p w:rsidR="007124F0" w:rsidRPr="00FD4A39" w:rsidRDefault="007124F0" w:rsidP="007124F0">
            <w:pPr>
              <w:jc w:val="center"/>
              <w:rPr>
                <w:rFonts w:cs="Arial"/>
                <w:sz w:val="22"/>
                <w:szCs w:val="22"/>
              </w:rPr>
            </w:pP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Total</w:t>
            </w:r>
            <w:r>
              <w:rPr>
                <w:rFonts w:cs="Arial"/>
                <w:i/>
                <w:sz w:val="22"/>
                <w:szCs w:val="22"/>
              </w:rPr>
              <w:t>-Investment</w:t>
            </w:r>
            <w:r w:rsidRPr="00FD4A39">
              <w:rPr>
                <w:rFonts w:cs="Arial"/>
                <w:b/>
                <w:i/>
                <w:sz w:val="22"/>
                <w:szCs w:val="22"/>
                <w:vertAlign w:val="subscript"/>
              </w:rPr>
              <w:t>t+12</w:t>
            </w:r>
          </w:p>
        </w:tc>
        <w:tc>
          <w:tcPr>
            <w:tcW w:w="1320" w:type="dxa"/>
            <w:noWrap/>
            <w:vAlign w:val="bottom"/>
          </w:tcPr>
          <w:p w:rsidR="007124F0" w:rsidRPr="003C62E0" w:rsidRDefault="007124F0" w:rsidP="007124F0">
            <w:pPr>
              <w:jc w:val="center"/>
              <w:rPr>
                <w:rFonts w:cs="Arial"/>
                <w:sz w:val="22"/>
                <w:szCs w:val="22"/>
              </w:rPr>
            </w:pPr>
            <w:r w:rsidRPr="003C62E0">
              <w:rPr>
                <w:rFonts w:cs="Arial"/>
                <w:sz w:val="22"/>
                <w:szCs w:val="22"/>
              </w:rPr>
              <w:t>12</w:t>
            </w:r>
            <w:r>
              <w:rPr>
                <w:rFonts w:cs="Arial"/>
                <w:sz w:val="22"/>
                <w:szCs w:val="22"/>
              </w:rPr>
              <w:t>.</w:t>
            </w:r>
            <w:r w:rsidRPr="003C62E0">
              <w:rPr>
                <w:rFonts w:cs="Arial"/>
                <w:sz w:val="22"/>
                <w:szCs w:val="22"/>
              </w:rPr>
              <w:t>6</w:t>
            </w:r>
            <w:r>
              <w:rPr>
                <w:rFonts w:cs="Arial"/>
                <w:sz w:val="22"/>
                <w:szCs w:val="22"/>
              </w:rPr>
              <w:t>7</w:t>
            </w:r>
          </w:p>
        </w:tc>
        <w:tc>
          <w:tcPr>
            <w:tcW w:w="1229" w:type="dxa"/>
            <w:noWrap/>
            <w:vAlign w:val="bottom"/>
          </w:tcPr>
          <w:p w:rsidR="007124F0" w:rsidRPr="003C62E0" w:rsidRDefault="007124F0" w:rsidP="007124F0">
            <w:pPr>
              <w:jc w:val="center"/>
              <w:rPr>
                <w:rFonts w:cs="Arial"/>
                <w:sz w:val="22"/>
                <w:szCs w:val="22"/>
              </w:rPr>
            </w:pPr>
            <w:r w:rsidRPr="003C62E0">
              <w:rPr>
                <w:rFonts w:cs="Arial"/>
                <w:sz w:val="22"/>
                <w:szCs w:val="22"/>
              </w:rPr>
              <w:t>16</w:t>
            </w:r>
            <w:r>
              <w:rPr>
                <w:rFonts w:cs="Arial"/>
                <w:sz w:val="22"/>
                <w:szCs w:val="22"/>
              </w:rPr>
              <w:t>.</w:t>
            </w:r>
            <w:r w:rsidRPr="003C62E0">
              <w:rPr>
                <w:rFonts w:cs="Arial"/>
                <w:sz w:val="22"/>
                <w:szCs w:val="22"/>
              </w:rPr>
              <w:t>4</w:t>
            </w:r>
            <w:r>
              <w:rPr>
                <w:rFonts w:cs="Arial"/>
                <w:sz w:val="22"/>
                <w:szCs w:val="22"/>
              </w:rPr>
              <w:t>5</w:t>
            </w:r>
          </w:p>
        </w:tc>
        <w:tc>
          <w:tcPr>
            <w:tcW w:w="1739" w:type="dxa"/>
            <w:noWrap/>
            <w:vAlign w:val="bottom"/>
          </w:tcPr>
          <w:p w:rsidR="007124F0" w:rsidRPr="00FD4A39" w:rsidRDefault="007124F0" w:rsidP="007124F0">
            <w:pPr>
              <w:jc w:val="center"/>
              <w:rPr>
                <w:rFonts w:cs="Arial"/>
                <w:sz w:val="22"/>
                <w:szCs w:val="22"/>
              </w:rPr>
            </w:pPr>
            <w:r w:rsidRPr="003C62E0">
              <w:rPr>
                <w:rFonts w:cs="Arial"/>
                <w:sz w:val="22"/>
                <w:szCs w:val="22"/>
              </w:rPr>
              <w:t>-3</w:t>
            </w:r>
            <w:r>
              <w:rPr>
                <w:rFonts w:cs="Arial"/>
                <w:sz w:val="22"/>
                <w:szCs w:val="22"/>
              </w:rPr>
              <w:t>.</w:t>
            </w:r>
            <w:r w:rsidRPr="003C62E0">
              <w:rPr>
                <w:rFonts w:cs="Arial"/>
                <w:sz w:val="22"/>
                <w:szCs w:val="22"/>
              </w:rPr>
              <w:t>78</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3C62E0">
              <w:rPr>
                <w:rFonts w:cs="Arial"/>
                <w:sz w:val="22"/>
                <w:szCs w:val="22"/>
              </w:rPr>
              <w:t>-5</w:t>
            </w:r>
            <w:r>
              <w:rPr>
                <w:rFonts w:cs="Arial"/>
                <w:sz w:val="22"/>
                <w:szCs w:val="22"/>
              </w:rPr>
              <w:t>.</w:t>
            </w:r>
            <w:r w:rsidRPr="003C62E0">
              <w:rPr>
                <w:rFonts w:cs="Arial"/>
                <w:sz w:val="22"/>
                <w:szCs w:val="22"/>
              </w:rPr>
              <w:t>01</w:t>
            </w:r>
            <w:r w:rsidRPr="00FD4A39">
              <w:rPr>
                <w:rFonts w:cs="Arial"/>
                <w:sz w:val="22"/>
                <w:szCs w:val="22"/>
              </w:rPr>
              <w:t>**</w:t>
            </w:r>
            <w:r>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1</w:t>
            </w:r>
            <w:r>
              <w:rPr>
                <w:rFonts w:cs="Arial"/>
                <w:sz w:val="22"/>
                <w:szCs w:val="22"/>
              </w:rPr>
              <w:t>.</w:t>
            </w:r>
            <w:r w:rsidRPr="003C62E0">
              <w:rPr>
                <w:rFonts w:cs="Arial"/>
                <w:sz w:val="22"/>
                <w:szCs w:val="22"/>
              </w:rPr>
              <w:t>52</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1</w:t>
            </w:r>
            <w:r>
              <w:rPr>
                <w:rFonts w:cs="Arial"/>
                <w:sz w:val="22"/>
                <w:szCs w:val="22"/>
              </w:rPr>
              <w:t>.</w:t>
            </w:r>
            <w:r w:rsidRPr="003C62E0">
              <w:rPr>
                <w:rFonts w:cs="Arial"/>
                <w:sz w:val="22"/>
                <w:szCs w:val="22"/>
              </w:rPr>
              <w:t>52</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Total</w:t>
            </w:r>
            <w:r>
              <w:rPr>
                <w:rFonts w:cs="Arial"/>
                <w:i/>
                <w:sz w:val="22"/>
                <w:szCs w:val="22"/>
              </w:rPr>
              <w:t>-Investment</w:t>
            </w:r>
            <w:r w:rsidRPr="00FD4A39">
              <w:rPr>
                <w:rFonts w:cs="Arial"/>
                <w:b/>
                <w:i/>
                <w:sz w:val="22"/>
                <w:szCs w:val="22"/>
                <w:vertAlign w:val="subscript"/>
              </w:rPr>
              <w:t>t+24</w:t>
            </w:r>
          </w:p>
        </w:tc>
        <w:tc>
          <w:tcPr>
            <w:tcW w:w="1320" w:type="dxa"/>
            <w:noWrap/>
            <w:vAlign w:val="bottom"/>
          </w:tcPr>
          <w:p w:rsidR="007124F0" w:rsidRPr="003C62E0" w:rsidRDefault="007124F0" w:rsidP="007124F0">
            <w:pPr>
              <w:jc w:val="center"/>
              <w:rPr>
                <w:rFonts w:cs="Arial"/>
                <w:sz w:val="22"/>
                <w:szCs w:val="22"/>
              </w:rPr>
            </w:pPr>
            <w:r w:rsidRPr="003C62E0">
              <w:rPr>
                <w:rFonts w:cs="Arial"/>
                <w:sz w:val="22"/>
                <w:szCs w:val="22"/>
              </w:rPr>
              <w:t>25</w:t>
            </w:r>
            <w:r>
              <w:rPr>
                <w:rFonts w:cs="Arial"/>
                <w:sz w:val="22"/>
                <w:szCs w:val="22"/>
              </w:rPr>
              <w:t>.</w:t>
            </w:r>
            <w:r w:rsidRPr="003C62E0">
              <w:rPr>
                <w:rFonts w:cs="Arial"/>
                <w:sz w:val="22"/>
                <w:szCs w:val="22"/>
              </w:rPr>
              <w:t>56</w:t>
            </w:r>
          </w:p>
        </w:tc>
        <w:tc>
          <w:tcPr>
            <w:tcW w:w="1229" w:type="dxa"/>
            <w:noWrap/>
            <w:vAlign w:val="bottom"/>
          </w:tcPr>
          <w:p w:rsidR="007124F0" w:rsidRPr="003C62E0" w:rsidRDefault="007124F0" w:rsidP="007124F0">
            <w:pPr>
              <w:jc w:val="center"/>
              <w:rPr>
                <w:rFonts w:cs="Arial"/>
                <w:sz w:val="22"/>
                <w:szCs w:val="22"/>
              </w:rPr>
            </w:pPr>
            <w:r w:rsidRPr="003C62E0">
              <w:rPr>
                <w:rFonts w:cs="Arial"/>
                <w:sz w:val="22"/>
                <w:szCs w:val="22"/>
              </w:rPr>
              <w:t>31</w:t>
            </w:r>
            <w:r>
              <w:rPr>
                <w:rFonts w:cs="Arial"/>
                <w:sz w:val="22"/>
                <w:szCs w:val="22"/>
              </w:rPr>
              <w:t>.30</w:t>
            </w:r>
          </w:p>
        </w:tc>
        <w:tc>
          <w:tcPr>
            <w:tcW w:w="1739" w:type="dxa"/>
            <w:noWrap/>
            <w:vAlign w:val="bottom"/>
          </w:tcPr>
          <w:p w:rsidR="007124F0" w:rsidRPr="00FD4A39" w:rsidRDefault="007124F0" w:rsidP="007124F0">
            <w:pPr>
              <w:jc w:val="center"/>
              <w:rPr>
                <w:rFonts w:cs="Arial"/>
                <w:sz w:val="22"/>
                <w:szCs w:val="22"/>
              </w:rPr>
            </w:pPr>
            <w:r w:rsidRPr="003C62E0">
              <w:rPr>
                <w:rFonts w:cs="Arial"/>
                <w:sz w:val="22"/>
                <w:szCs w:val="22"/>
              </w:rPr>
              <w:t>-5</w:t>
            </w:r>
            <w:r>
              <w:rPr>
                <w:rFonts w:cs="Arial"/>
                <w:sz w:val="22"/>
                <w:szCs w:val="22"/>
              </w:rPr>
              <w:t>.</w:t>
            </w:r>
            <w:r w:rsidRPr="003C62E0">
              <w:rPr>
                <w:rFonts w:cs="Arial"/>
                <w:sz w:val="22"/>
                <w:szCs w:val="22"/>
              </w:rPr>
              <w:t>73</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3C62E0">
              <w:rPr>
                <w:rFonts w:cs="Arial"/>
                <w:sz w:val="22"/>
                <w:szCs w:val="22"/>
              </w:rPr>
              <w:t>-8</w:t>
            </w:r>
            <w:r>
              <w:rPr>
                <w:rFonts w:cs="Arial"/>
                <w:sz w:val="22"/>
                <w:szCs w:val="22"/>
              </w:rPr>
              <w:t>.</w:t>
            </w:r>
            <w:r w:rsidRPr="003C62E0">
              <w:rPr>
                <w:rFonts w:cs="Arial"/>
                <w:sz w:val="22"/>
                <w:szCs w:val="22"/>
              </w:rPr>
              <w:t>2</w:t>
            </w:r>
            <w:r>
              <w:rPr>
                <w:rFonts w:cs="Arial"/>
                <w:sz w:val="22"/>
                <w:szCs w:val="22"/>
              </w:rPr>
              <w:t>8</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2</w:t>
            </w:r>
            <w:r>
              <w:rPr>
                <w:rFonts w:cs="Arial"/>
                <w:sz w:val="22"/>
                <w:szCs w:val="22"/>
              </w:rPr>
              <w:t>.</w:t>
            </w:r>
            <w:r w:rsidRPr="003C62E0">
              <w:rPr>
                <w:rFonts w:cs="Arial"/>
                <w:sz w:val="22"/>
                <w:szCs w:val="22"/>
              </w:rPr>
              <w:t>93</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2</w:t>
            </w:r>
            <w:r>
              <w:rPr>
                <w:rFonts w:cs="Arial"/>
                <w:sz w:val="22"/>
                <w:szCs w:val="22"/>
              </w:rPr>
              <w:t>.</w:t>
            </w:r>
            <w:r w:rsidRPr="003C62E0">
              <w:rPr>
                <w:rFonts w:cs="Arial"/>
                <w:sz w:val="22"/>
                <w:szCs w:val="22"/>
              </w:rPr>
              <w:t>93</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Total</w:t>
            </w:r>
            <w:r>
              <w:rPr>
                <w:rFonts w:cs="Arial"/>
                <w:i/>
                <w:sz w:val="22"/>
                <w:szCs w:val="22"/>
              </w:rPr>
              <w:t>-Investment</w:t>
            </w:r>
            <w:r w:rsidRPr="00FD4A39">
              <w:rPr>
                <w:rFonts w:cs="Arial"/>
                <w:b/>
                <w:i/>
                <w:sz w:val="22"/>
                <w:szCs w:val="22"/>
                <w:vertAlign w:val="subscript"/>
              </w:rPr>
              <w:t>t+36</w:t>
            </w:r>
          </w:p>
        </w:tc>
        <w:tc>
          <w:tcPr>
            <w:tcW w:w="1320" w:type="dxa"/>
            <w:noWrap/>
            <w:vAlign w:val="bottom"/>
          </w:tcPr>
          <w:p w:rsidR="007124F0" w:rsidRPr="003C62E0" w:rsidRDefault="007124F0" w:rsidP="007124F0">
            <w:pPr>
              <w:jc w:val="center"/>
              <w:rPr>
                <w:rFonts w:cs="Arial"/>
                <w:sz w:val="22"/>
                <w:szCs w:val="22"/>
              </w:rPr>
            </w:pPr>
            <w:r w:rsidRPr="003C62E0">
              <w:rPr>
                <w:rFonts w:cs="Arial"/>
                <w:sz w:val="22"/>
                <w:szCs w:val="22"/>
              </w:rPr>
              <w:t>42</w:t>
            </w:r>
            <w:r>
              <w:rPr>
                <w:rFonts w:cs="Arial"/>
                <w:sz w:val="22"/>
                <w:szCs w:val="22"/>
              </w:rPr>
              <w:t>.</w:t>
            </w:r>
            <w:r w:rsidRPr="003C62E0">
              <w:rPr>
                <w:rFonts w:cs="Arial"/>
                <w:sz w:val="22"/>
                <w:szCs w:val="22"/>
              </w:rPr>
              <w:t>6</w:t>
            </w:r>
            <w:r>
              <w:rPr>
                <w:rFonts w:cs="Arial"/>
                <w:sz w:val="22"/>
                <w:szCs w:val="22"/>
              </w:rPr>
              <w:t>9</w:t>
            </w:r>
          </w:p>
        </w:tc>
        <w:tc>
          <w:tcPr>
            <w:tcW w:w="1229" w:type="dxa"/>
            <w:noWrap/>
            <w:vAlign w:val="bottom"/>
          </w:tcPr>
          <w:p w:rsidR="007124F0" w:rsidRPr="003C62E0" w:rsidRDefault="007124F0" w:rsidP="007124F0">
            <w:pPr>
              <w:jc w:val="center"/>
              <w:rPr>
                <w:rFonts w:cs="Arial"/>
                <w:sz w:val="22"/>
                <w:szCs w:val="22"/>
              </w:rPr>
            </w:pPr>
            <w:r w:rsidRPr="003C62E0">
              <w:rPr>
                <w:rFonts w:cs="Arial"/>
                <w:sz w:val="22"/>
                <w:szCs w:val="22"/>
              </w:rPr>
              <w:t>54</w:t>
            </w:r>
            <w:r>
              <w:rPr>
                <w:rFonts w:cs="Arial"/>
                <w:sz w:val="22"/>
                <w:szCs w:val="22"/>
              </w:rPr>
              <w:t>.</w:t>
            </w:r>
            <w:r w:rsidRPr="003C62E0">
              <w:rPr>
                <w:rFonts w:cs="Arial"/>
                <w:sz w:val="22"/>
                <w:szCs w:val="22"/>
              </w:rPr>
              <w:t>9</w:t>
            </w:r>
            <w:r>
              <w:rPr>
                <w:rFonts w:cs="Arial"/>
                <w:sz w:val="22"/>
                <w:szCs w:val="22"/>
              </w:rPr>
              <w:t>7</w:t>
            </w:r>
          </w:p>
        </w:tc>
        <w:tc>
          <w:tcPr>
            <w:tcW w:w="1739" w:type="dxa"/>
            <w:noWrap/>
            <w:vAlign w:val="bottom"/>
          </w:tcPr>
          <w:p w:rsidR="007124F0" w:rsidRPr="00FD4A39" w:rsidRDefault="007124F0" w:rsidP="007124F0">
            <w:pPr>
              <w:jc w:val="center"/>
              <w:rPr>
                <w:rFonts w:cs="Arial"/>
                <w:sz w:val="22"/>
                <w:szCs w:val="22"/>
              </w:rPr>
            </w:pPr>
            <w:r w:rsidRPr="003C62E0">
              <w:rPr>
                <w:rFonts w:cs="Arial"/>
                <w:sz w:val="22"/>
                <w:szCs w:val="22"/>
              </w:rPr>
              <w:t>-12</w:t>
            </w:r>
            <w:r>
              <w:rPr>
                <w:rFonts w:cs="Arial"/>
                <w:sz w:val="22"/>
                <w:szCs w:val="22"/>
              </w:rPr>
              <w:t>.</w:t>
            </w:r>
            <w:r w:rsidRPr="003C62E0">
              <w:rPr>
                <w:rFonts w:cs="Arial"/>
                <w:sz w:val="22"/>
                <w:szCs w:val="22"/>
              </w:rPr>
              <w:t>28</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3C62E0">
              <w:rPr>
                <w:rFonts w:cs="Arial"/>
                <w:sz w:val="22"/>
                <w:szCs w:val="22"/>
              </w:rPr>
              <w:t>-16</w:t>
            </w:r>
            <w:r>
              <w:rPr>
                <w:rFonts w:cs="Arial"/>
                <w:sz w:val="22"/>
                <w:szCs w:val="22"/>
              </w:rPr>
              <w:t>.</w:t>
            </w:r>
            <w:r w:rsidRPr="003C62E0">
              <w:rPr>
                <w:rFonts w:cs="Arial"/>
                <w:sz w:val="22"/>
                <w:szCs w:val="22"/>
              </w:rPr>
              <w:t>6</w:t>
            </w:r>
            <w:r>
              <w:rPr>
                <w:rFonts w:cs="Arial"/>
                <w:sz w:val="22"/>
                <w:szCs w:val="22"/>
              </w:rPr>
              <w:t>2</w:t>
            </w:r>
            <w:r w:rsidRPr="00FD4A39">
              <w:rPr>
                <w:rFonts w:cs="Arial"/>
                <w:sz w:val="22"/>
                <w:szCs w:val="22"/>
              </w:rPr>
              <w:t>***</w:t>
            </w:r>
          </w:p>
        </w:tc>
      </w:tr>
      <w:tr w:rsidR="007124F0" w:rsidRPr="00FD4A39" w:rsidTr="007124F0">
        <w:trPr>
          <w:trHeight w:val="264"/>
        </w:trPr>
        <w:tc>
          <w:tcPr>
            <w:tcW w:w="3368" w:type="dxa"/>
            <w:tcBorders>
              <w:bottom w:val="double" w:sz="4" w:space="0" w:color="auto"/>
            </w:tcBorders>
            <w:noWrap/>
          </w:tcPr>
          <w:p w:rsidR="007124F0" w:rsidRPr="00FD4A39" w:rsidRDefault="007124F0" w:rsidP="007124F0">
            <w:pPr>
              <w:jc w:val="center"/>
              <w:rPr>
                <w:rFonts w:cs="Arial"/>
                <w:sz w:val="22"/>
                <w:szCs w:val="22"/>
              </w:rPr>
            </w:pPr>
          </w:p>
        </w:tc>
        <w:tc>
          <w:tcPr>
            <w:tcW w:w="1320" w:type="dxa"/>
            <w:tcBorders>
              <w:bottom w:val="double" w:sz="4" w:space="0" w:color="auto"/>
            </w:tcBorders>
            <w:noWrap/>
          </w:tcPr>
          <w:p w:rsidR="007124F0" w:rsidRPr="00FD4A39" w:rsidRDefault="007124F0" w:rsidP="007124F0">
            <w:pPr>
              <w:jc w:val="center"/>
              <w:rPr>
                <w:rFonts w:cs="Arial"/>
                <w:sz w:val="22"/>
                <w:szCs w:val="22"/>
              </w:rPr>
            </w:pPr>
          </w:p>
        </w:tc>
        <w:tc>
          <w:tcPr>
            <w:tcW w:w="1229" w:type="dxa"/>
            <w:tcBorders>
              <w:bottom w:val="double" w:sz="4" w:space="0" w:color="auto"/>
            </w:tcBorders>
            <w:noWrap/>
          </w:tcPr>
          <w:p w:rsidR="007124F0" w:rsidRPr="00FD4A39" w:rsidRDefault="007124F0" w:rsidP="007124F0">
            <w:pPr>
              <w:jc w:val="center"/>
              <w:rPr>
                <w:rFonts w:cs="Arial"/>
                <w:sz w:val="22"/>
                <w:szCs w:val="22"/>
              </w:rPr>
            </w:pPr>
          </w:p>
        </w:tc>
        <w:tc>
          <w:tcPr>
            <w:tcW w:w="1739" w:type="dxa"/>
            <w:tcBorders>
              <w:bottom w:val="double" w:sz="4" w:space="0" w:color="auto"/>
            </w:tcBorders>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3</w:t>
            </w:r>
            <w:r>
              <w:rPr>
                <w:rFonts w:cs="Arial"/>
                <w:sz w:val="22"/>
                <w:szCs w:val="22"/>
              </w:rPr>
              <w:t>.</w:t>
            </w:r>
            <w:r w:rsidRPr="003C62E0">
              <w:rPr>
                <w:rFonts w:cs="Arial"/>
                <w:sz w:val="22"/>
                <w:szCs w:val="22"/>
              </w:rPr>
              <w:t>8</w:t>
            </w:r>
            <w:r>
              <w:rPr>
                <w:rFonts w:cs="Arial"/>
                <w:sz w:val="22"/>
                <w:szCs w:val="22"/>
              </w:rPr>
              <w:t>7</w:t>
            </w:r>
            <w:r w:rsidRPr="00FD4A39">
              <w:rPr>
                <w:rFonts w:cs="Arial"/>
                <w:sz w:val="22"/>
                <w:szCs w:val="22"/>
              </w:rPr>
              <w:t>)</w:t>
            </w:r>
          </w:p>
        </w:tc>
        <w:tc>
          <w:tcPr>
            <w:tcW w:w="1820" w:type="dxa"/>
            <w:tcBorders>
              <w:bottom w:val="double" w:sz="4" w:space="0" w:color="auto"/>
            </w:tcBorders>
            <w:noWrap/>
          </w:tcPr>
          <w:p w:rsidR="007124F0" w:rsidRPr="00FD4A39" w:rsidRDefault="007124F0" w:rsidP="007124F0">
            <w:pPr>
              <w:jc w:val="center"/>
              <w:rPr>
                <w:rFonts w:cs="Arial"/>
                <w:sz w:val="22"/>
                <w:szCs w:val="22"/>
              </w:rPr>
            </w:pPr>
            <w:r w:rsidRPr="00FD4A39">
              <w:rPr>
                <w:rFonts w:cs="Arial"/>
                <w:sz w:val="22"/>
                <w:szCs w:val="22"/>
              </w:rPr>
              <w:t>(</w:t>
            </w:r>
            <w:r w:rsidRPr="003C62E0">
              <w:rPr>
                <w:rFonts w:cs="Arial"/>
                <w:sz w:val="22"/>
                <w:szCs w:val="22"/>
              </w:rPr>
              <w:t>3</w:t>
            </w:r>
            <w:r>
              <w:rPr>
                <w:rFonts w:cs="Arial"/>
                <w:sz w:val="22"/>
                <w:szCs w:val="22"/>
              </w:rPr>
              <w:t>.</w:t>
            </w:r>
            <w:r w:rsidRPr="003C62E0">
              <w:rPr>
                <w:rFonts w:cs="Arial"/>
                <w:sz w:val="22"/>
                <w:szCs w:val="22"/>
              </w:rPr>
              <w:t>8</w:t>
            </w:r>
            <w:r>
              <w:rPr>
                <w:rFonts w:cs="Arial"/>
                <w:sz w:val="22"/>
                <w:szCs w:val="22"/>
              </w:rPr>
              <w:t>7</w:t>
            </w:r>
            <w:r w:rsidRPr="00FD4A39">
              <w:rPr>
                <w:rFonts w:cs="Arial"/>
                <w:sz w:val="22"/>
                <w:szCs w:val="22"/>
              </w:rPr>
              <w:t>)</w:t>
            </w:r>
          </w:p>
        </w:tc>
      </w:tr>
    </w:tbl>
    <w:p w:rsidR="007124F0" w:rsidRPr="00E94F44" w:rsidRDefault="007124F0" w:rsidP="007124F0">
      <w:pPr>
        <w:jc w:val="both"/>
        <w:rPr>
          <w:sz w:val="18"/>
          <w:szCs w:val="18"/>
        </w:rPr>
      </w:pPr>
      <w:r w:rsidRPr="00E94F44">
        <w:rPr>
          <w:sz w:val="18"/>
          <w:szCs w:val="18"/>
        </w:rPr>
        <w:t xml:space="preserve">Note: ***, ** and * indicate statistical significance at the 1%, 5% and 10% (two-tail) test levels, respectively. </w:t>
      </w:r>
    </w:p>
    <w:p w:rsidR="007124F0" w:rsidRPr="00FD4A39" w:rsidRDefault="007124F0" w:rsidP="007124F0">
      <w:pPr>
        <w:jc w:val="both"/>
        <w:rPr>
          <w:sz w:val="22"/>
          <w:szCs w:val="22"/>
        </w:rPr>
      </w:pPr>
    </w:p>
    <w:p w:rsidR="007124F0" w:rsidRPr="00FD4A39" w:rsidRDefault="007124F0" w:rsidP="007124F0">
      <w:pPr>
        <w:jc w:val="both"/>
        <w:rPr>
          <w:sz w:val="22"/>
          <w:szCs w:val="22"/>
        </w:rPr>
      </w:pPr>
    </w:p>
    <w:p w:rsidR="007124F0" w:rsidRPr="00FD4A39" w:rsidRDefault="007124F0" w:rsidP="007124F0">
      <w:pPr>
        <w:rPr>
          <w:sz w:val="22"/>
          <w:szCs w:val="22"/>
        </w:rPr>
      </w:pPr>
    </w:p>
    <w:p w:rsidR="007124F0" w:rsidRPr="007A3F94" w:rsidRDefault="007124F0" w:rsidP="007124F0">
      <w:r w:rsidRPr="00FD4A39">
        <w:rPr>
          <w:sz w:val="22"/>
          <w:szCs w:val="22"/>
        </w:rPr>
        <w:br w:type="page"/>
      </w:r>
      <w:r w:rsidRPr="007A3F94">
        <w:lastRenderedPageBreak/>
        <w:t>Table 10 –</w:t>
      </w:r>
      <w:r w:rsidR="00406E37">
        <w:t xml:space="preserve"> </w:t>
      </w:r>
      <w:r w:rsidRPr="007A3F94">
        <w:t>Future Performance: Treated and Control Firms</w:t>
      </w:r>
    </w:p>
    <w:p w:rsidR="007124F0" w:rsidRPr="00FD4A39" w:rsidRDefault="007124F0" w:rsidP="007124F0">
      <w:pPr>
        <w:rPr>
          <w:sz w:val="22"/>
          <w:szCs w:val="22"/>
        </w:rPr>
      </w:pPr>
    </w:p>
    <w:p w:rsidR="007124F0" w:rsidRPr="00FD4A39" w:rsidRDefault="007124F0" w:rsidP="007124F0">
      <w:pPr>
        <w:jc w:val="both"/>
        <w:rPr>
          <w:sz w:val="22"/>
          <w:szCs w:val="22"/>
        </w:rPr>
      </w:pPr>
      <w:r w:rsidRPr="00FD4A39">
        <w:rPr>
          <w:sz w:val="22"/>
          <w:szCs w:val="22"/>
        </w:rPr>
        <w:t xml:space="preserve">This table reports average cumulative ROA (in percentage points) measured 12, 24 and 36 months after the </w:t>
      </w:r>
      <w:r>
        <w:rPr>
          <w:sz w:val="22"/>
          <w:szCs w:val="22"/>
        </w:rPr>
        <w:t>reference</w:t>
      </w:r>
      <w:r w:rsidRPr="00FD4A39">
        <w:rPr>
          <w:sz w:val="22"/>
          <w:szCs w:val="22"/>
        </w:rPr>
        <w:t xml:space="preserve"> period for treated and control </w:t>
      </w:r>
      <w:r>
        <w:rPr>
          <w:sz w:val="22"/>
          <w:szCs w:val="22"/>
        </w:rPr>
        <w:t>firms</w:t>
      </w:r>
      <w:r w:rsidRPr="00FD4A39">
        <w:rPr>
          <w:sz w:val="22"/>
          <w:szCs w:val="22"/>
        </w:rPr>
        <w:t xml:space="preserve">. </w:t>
      </w:r>
      <w:r>
        <w:rPr>
          <w:sz w:val="22"/>
          <w:szCs w:val="22"/>
        </w:rPr>
        <w:t xml:space="preserve">The table also reports difference in average ROA for the two groups of treated and control firms. </w:t>
      </w:r>
      <w:r w:rsidRPr="00FD4A39">
        <w:rPr>
          <w:sz w:val="22"/>
          <w:szCs w:val="22"/>
        </w:rPr>
        <w:t xml:space="preserve">In Panel A, the treated (control) </w:t>
      </w:r>
      <w:r>
        <w:rPr>
          <w:sz w:val="22"/>
          <w:szCs w:val="22"/>
        </w:rPr>
        <w:t>firms</w:t>
      </w:r>
      <w:r w:rsidRPr="00FD4A39">
        <w:rPr>
          <w:sz w:val="22"/>
          <w:szCs w:val="22"/>
        </w:rPr>
        <w:t xml:space="preserve"> are those with </w:t>
      </w:r>
      <w:r w:rsidRPr="00FD4A39">
        <w:rPr>
          <w:i/>
          <w:sz w:val="22"/>
          <w:szCs w:val="22"/>
        </w:rPr>
        <w:t>SecuredMarketLeverage</w:t>
      </w:r>
      <w:r w:rsidRPr="00FD4A39">
        <w:rPr>
          <w:sz w:val="22"/>
          <w:szCs w:val="22"/>
        </w:rPr>
        <w:t xml:space="preserve"> above (below) the sample median. In Panel B, the treated (control) </w:t>
      </w:r>
      <w:r>
        <w:rPr>
          <w:sz w:val="22"/>
          <w:szCs w:val="22"/>
        </w:rPr>
        <w:t>firms</w:t>
      </w:r>
      <w:r w:rsidRPr="00FD4A39">
        <w:rPr>
          <w:sz w:val="22"/>
          <w:szCs w:val="22"/>
        </w:rPr>
        <w:t xml:space="preserve"> are those with </w:t>
      </w:r>
      <w:r w:rsidRPr="00FD4A39">
        <w:rPr>
          <w:i/>
          <w:sz w:val="22"/>
          <w:szCs w:val="22"/>
        </w:rPr>
        <w:t>SecuredBookLeverage</w:t>
      </w:r>
      <w:r w:rsidRPr="00FD4A39">
        <w:rPr>
          <w:sz w:val="22"/>
          <w:szCs w:val="22"/>
        </w:rPr>
        <w:t xml:space="preserve"> above (below) the sample median. Each treated </w:t>
      </w:r>
      <w:r>
        <w:rPr>
          <w:sz w:val="22"/>
          <w:szCs w:val="22"/>
        </w:rPr>
        <w:t>firm</w:t>
      </w:r>
      <w:r w:rsidRPr="00FD4A39">
        <w:rPr>
          <w:sz w:val="22"/>
          <w:szCs w:val="22"/>
        </w:rPr>
        <w:t xml:space="preserve"> is matched with </w:t>
      </w:r>
      <w:r>
        <w:rPr>
          <w:sz w:val="22"/>
          <w:szCs w:val="22"/>
        </w:rPr>
        <w:t>two</w:t>
      </w:r>
      <w:r w:rsidRPr="00FD4A39">
        <w:rPr>
          <w:sz w:val="22"/>
          <w:szCs w:val="22"/>
        </w:rPr>
        <w:t xml:space="preserve"> control </w:t>
      </w:r>
      <w:r>
        <w:rPr>
          <w:sz w:val="22"/>
          <w:szCs w:val="22"/>
        </w:rPr>
        <w:t>firms</w:t>
      </w:r>
      <w:r w:rsidRPr="00FD4A39">
        <w:rPr>
          <w:sz w:val="22"/>
          <w:szCs w:val="22"/>
        </w:rPr>
        <w:t xml:space="preserve"> identified as the closest matches based on </w:t>
      </w:r>
      <w:r>
        <w:rPr>
          <w:i/>
          <w:sz w:val="22"/>
          <w:szCs w:val="22"/>
        </w:rPr>
        <w:t>q</w:t>
      </w:r>
      <w:r w:rsidRPr="00FD4A39">
        <w:rPr>
          <w:sz w:val="22"/>
          <w:szCs w:val="22"/>
        </w:rPr>
        <w:t>, size, profitab</w:t>
      </w:r>
      <w:r>
        <w:rPr>
          <w:sz w:val="22"/>
          <w:szCs w:val="22"/>
        </w:rPr>
        <w:t xml:space="preserve">ility, earnings volatility, </w:t>
      </w:r>
      <w:r w:rsidRPr="00FD4A39">
        <w:rPr>
          <w:sz w:val="22"/>
          <w:szCs w:val="22"/>
        </w:rPr>
        <w:t>age</w:t>
      </w:r>
      <w:r>
        <w:rPr>
          <w:sz w:val="22"/>
          <w:szCs w:val="22"/>
        </w:rPr>
        <w:t>, and industry segment</w:t>
      </w:r>
      <w:r w:rsidRPr="00FD4A39">
        <w:rPr>
          <w:sz w:val="22"/>
          <w:szCs w:val="22"/>
        </w:rPr>
        <w:t xml:space="preserve"> using the Abadia-Imbens matching estimator as well as a bias-corrected version of the same estimator. </w:t>
      </w:r>
      <w:r w:rsidRPr="00FD4A39">
        <w:rPr>
          <w:rFonts w:cs="Arial"/>
          <w:i/>
          <w:sz w:val="22"/>
          <w:szCs w:val="22"/>
        </w:rPr>
        <w:t>CumulativeROA</w:t>
      </w:r>
      <w:r w:rsidRPr="00FD4A39">
        <w:rPr>
          <w:rFonts w:cs="Arial"/>
          <w:b/>
          <w:i/>
          <w:sz w:val="22"/>
          <w:szCs w:val="22"/>
          <w:vertAlign w:val="subscript"/>
        </w:rPr>
        <w:t>t+</w:t>
      </w:r>
      <w:r>
        <w:rPr>
          <w:rFonts w:cs="Arial"/>
          <w:b/>
          <w:i/>
          <w:sz w:val="22"/>
          <w:szCs w:val="22"/>
          <w:vertAlign w:val="subscript"/>
        </w:rPr>
        <w:t>12</w:t>
      </w:r>
      <w:r w:rsidRPr="00FD4A39">
        <w:rPr>
          <w:rFonts w:cs="Arial"/>
          <w:sz w:val="22"/>
          <w:szCs w:val="22"/>
        </w:rPr>
        <w:t xml:space="preserve"> is measured as the </w:t>
      </w:r>
      <w:r>
        <w:rPr>
          <w:rFonts w:cs="Arial"/>
          <w:sz w:val="22"/>
          <w:szCs w:val="22"/>
        </w:rPr>
        <w:t xml:space="preserve">ratio of </w:t>
      </w:r>
      <w:r w:rsidRPr="00FD4A39">
        <w:rPr>
          <w:rFonts w:cs="Arial"/>
          <w:sz w:val="22"/>
          <w:szCs w:val="22"/>
        </w:rPr>
        <w:t xml:space="preserve">earnings before extraordinary items – SNL item #4430 – </w:t>
      </w:r>
      <w:r>
        <w:rPr>
          <w:rFonts w:cs="Arial"/>
          <w:sz w:val="22"/>
          <w:szCs w:val="22"/>
        </w:rPr>
        <w:t>in the 12 months after the matching period to</w:t>
      </w:r>
      <w:r w:rsidRPr="00FD4A39">
        <w:rPr>
          <w:rFonts w:cs="Arial"/>
          <w:sz w:val="22"/>
          <w:szCs w:val="22"/>
        </w:rPr>
        <w:t xml:space="preserve"> book value of total assets – SNL item #220 – lagged one period. </w:t>
      </w:r>
      <w:r>
        <w:rPr>
          <w:rFonts w:cs="Arial"/>
          <w:sz w:val="22"/>
          <w:szCs w:val="22"/>
        </w:rPr>
        <w:t xml:space="preserve">We use a similar definition for cumulative ROA measured 24 and 36 months after the matching period. </w:t>
      </w:r>
      <w:r>
        <w:rPr>
          <w:sz w:val="22"/>
          <w:szCs w:val="22"/>
        </w:rPr>
        <w:t xml:space="preserve">Refer to Table 4 for details on sample construction and variable definitions. </w:t>
      </w:r>
      <w:r w:rsidRPr="00FD4A39">
        <w:rPr>
          <w:sz w:val="22"/>
          <w:szCs w:val="22"/>
        </w:rPr>
        <w:t>Standard errors reported in parentheses are based on heteroskedastic consistent errors.</w:t>
      </w:r>
    </w:p>
    <w:p w:rsidR="007124F0" w:rsidRPr="00FD4A39" w:rsidRDefault="007124F0" w:rsidP="007124F0">
      <w:pPr>
        <w:jc w:val="both"/>
        <w:rPr>
          <w:sz w:val="22"/>
          <w:szCs w:val="22"/>
        </w:rPr>
      </w:pPr>
    </w:p>
    <w:tbl>
      <w:tblPr>
        <w:tblW w:w="9476" w:type="dxa"/>
        <w:tblLook w:val="0000"/>
      </w:tblPr>
      <w:tblGrid>
        <w:gridCol w:w="3368"/>
        <w:gridCol w:w="1320"/>
        <w:gridCol w:w="1229"/>
        <w:gridCol w:w="1739"/>
        <w:gridCol w:w="1820"/>
      </w:tblGrid>
      <w:tr w:rsidR="007124F0" w:rsidRPr="00FD4A39" w:rsidTr="007124F0">
        <w:trPr>
          <w:trHeight w:val="264"/>
        </w:trPr>
        <w:tc>
          <w:tcPr>
            <w:tcW w:w="3368" w:type="dxa"/>
            <w:tcBorders>
              <w:top w:val="double" w:sz="4" w:space="0" w:color="auto"/>
              <w:bottom w:val="single" w:sz="4" w:space="0" w:color="auto"/>
            </w:tcBorders>
            <w:noWrap/>
            <w:vAlign w:val="bottom"/>
          </w:tcPr>
          <w:p w:rsidR="007124F0" w:rsidRPr="00FD4A39" w:rsidRDefault="007124F0" w:rsidP="007124F0">
            <w:pPr>
              <w:rPr>
                <w:rFonts w:cs="Arial"/>
                <w:b/>
                <w:sz w:val="22"/>
                <w:szCs w:val="22"/>
              </w:rPr>
            </w:pPr>
          </w:p>
          <w:p w:rsidR="007124F0" w:rsidRPr="00FD4A39" w:rsidRDefault="007124F0" w:rsidP="007124F0">
            <w:pPr>
              <w:rPr>
                <w:rFonts w:cs="Arial"/>
                <w:b/>
                <w:sz w:val="22"/>
                <w:szCs w:val="22"/>
              </w:rPr>
            </w:pPr>
            <w:r w:rsidRPr="00FD4A39">
              <w:rPr>
                <w:rFonts w:cs="Arial"/>
                <w:b/>
                <w:sz w:val="22"/>
                <w:szCs w:val="22"/>
              </w:rPr>
              <w:t xml:space="preserve">Panel A – Treatment: </w:t>
            </w:r>
            <w:r w:rsidRPr="00FD4A39">
              <w:rPr>
                <w:rFonts w:cs="Arial"/>
                <w:b/>
                <w:i/>
                <w:sz w:val="22"/>
                <w:szCs w:val="22"/>
              </w:rPr>
              <w:t>SecuredMarketLeverage</w:t>
            </w:r>
            <w:r w:rsidRPr="00FD4A39">
              <w:rPr>
                <w:rFonts w:cs="Arial"/>
                <w:b/>
                <w:sz w:val="22"/>
                <w:szCs w:val="22"/>
              </w:rPr>
              <w:t>&gt;Median</w:t>
            </w:r>
          </w:p>
          <w:p w:rsidR="007124F0" w:rsidRPr="00FD4A39" w:rsidRDefault="007124F0" w:rsidP="007124F0">
            <w:pPr>
              <w:rPr>
                <w:rFonts w:cs="Arial"/>
                <w:b/>
                <w:sz w:val="22"/>
                <w:szCs w:val="22"/>
              </w:rPr>
            </w:pPr>
          </w:p>
        </w:tc>
        <w:tc>
          <w:tcPr>
            <w:tcW w:w="1320"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 xml:space="preserve">Treated </w:t>
            </w:r>
            <w:r>
              <w:rPr>
                <w:rFonts w:cs="Arial"/>
                <w:sz w:val="22"/>
                <w:szCs w:val="22"/>
              </w:rPr>
              <w:t>Firm</w:t>
            </w:r>
          </w:p>
          <w:p w:rsidR="007124F0" w:rsidRPr="00FD4A39" w:rsidRDefault="007124F0" w:rsidP="007124F0">
            <w:pPr>
              <w:jc w:val="center"/>
              <w:rPr>
                <w:rFonts w:cs="Arial"/>
                <w:sz w:val="22"/>
                <w:szCs w:val="22"/>
              </w:rPr>
            </w:pPr>
          </w:p>
        </w:tc>
        <w:tc>
          <w:tcPr>
            <w:tcW w:w="1229"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 xml:space="preserve">Control </w:t>
            </w:r>
            <w:r>
              <w:rPr>
                <w:rFonts w:cs="Arial"/>
                <w:sz w:val="22"/>
                <w:szCs w:val="22"/>
              </w:rPr>
              <w:t>Firm</w:t>
            </w:r>
          </w:p>
          <w:p w:rsidR="007124F0" w:rsidRPr="00FD4A39" w:rsidRDefault="007124F0" w:rsidP="007124F0">
            <w:pPr>
              <w:jc w:val="center"/>
              <w:rPr>
                <w:rFonts w:cs="Arial"/>
                <w:sz w:val="22"/>
                <w:szCs w:val="22"/>
              </w:rPr>
            </w:pPr>
          </w:p>
        </w:tc>
        <w:tc>
          <w:tcPr>
            <w:tcW w:w="1739"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Difference</w:t>
            </w:r>
          </w:p>
          <w:p w:rsidR="007124F0" w:rsidRPr="00FD4A39" w:rsidRDefault="007124F0" w:rsidP="007124F0">
            <w:pPr>
              <w:jc w:val="center"/>
              <w:rPr>
                <w:rFonts w:cs="Arial"/>
                <w:sz w:val="22"/>
                <w:szCs w:val="22"/>
              </w:rPr>
            </w:pPr>
          </w:p>
          <w:p w:rsidR="007124F0" w:rsidRPr="00FD4A39" w:rsidRDefault="007124F0" w:rsidP="007124F0">
            <w:pPr>
              <w:jc w:val="center"/>
              <w:rPr>
                <w:rFonts w:cs="Arial"/>
                <w:sz w:val="22"/>
                <w:szCs w:val="22"/>
              </w:rPr>
            </w:pPr>
          </w:p>
        </w:tc>
        <w:tc>
          <w:tcPr>
            <w:tcW w:w="1820" w:type="dxa"/>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Difference</w:t>
            </w:r>
          </w:p>
          <w:p w:rsidR="007124F0" w:rsidRPr="00FD4A39" w:rsidRDefault="007124F0" w:rsidP="007124F0">
            <w:pPr>
              <w:jc w:val="center"/>
              <w:rPr>
                <w:rFonts w:cs="Arial"/>
                <w:sz w:val="22"/>
                <w:szCs w:val="22"/>
              </w:rPr>
            </w:pPr>
            <w:r w:rsidRPr="00FD4A39">
              <w:rPr>
                <w:rFonts w:cs="Arial"/>
                <w:sz w:val="22"/>
                <w:szCs w:val="22"/>
              </w:rPr>
              <w:t>(Bias-Corrected)</w:t>
            </w:r>
          </w:p>
          <w:p w:rsidR="007124F0" w:rsidRPr="00FD4A39" w:rsidRDefault="007124F0" w:rsidP="007124F0">
            <w:pPr>
              <w:jc w:val="center"/>
              <w:rPr>
                <w:rFonts w:cs="Arial"/>
                <w:sz w:val="22"/>
                <w:szCs w:val="22"/>
              </w:rPr>
            </w:pPr>
          </w:p>
        </w:tc>
      </w:tr>
      <w:tr w:rsidR="007124F0" w:rsidRPr="00FD4A39" w:rsidTr="007124F0">
        <w:trPr>
          <w:trHeight w:val="264"/>
        </w:trPr>
        <w:tc>
          <w:tcPr>
            <w:tcW w:w="3368" w:type="dxa"/>
            <w:tcBorders>
              <w:top w:val="single" w:sz="4" w:space="0" w:color="auto"/>
            </w:tcBorders>
            <w:noWrap/>
            <w:vAlign w:val="bottom"/>
          </w:tcPr>
          <w:p w:rsidR="007124F0" w:rsidRPr="00FD4A39" w:rsidRDefault="007124F0" w:rsidP="007124F0">
            <w:pPr>
              <w:rPr>
                <w:rFonts w:cs="Arial"/>
                <w:i/>
                <w:sz w:val="22"/>
                <w:szCs w:val="22"/>
              </w:rPr>
            </w:pPr>
            <w:r w:rsidRPr="00FD4A39">
              <w:rPr>
                <w:rFonts w:cs="Arial"/>
                <w:i/>
                <w:sz w:val="22"/>
                <w:szCs w:val="22"/>
              </w:rPr>
              <w:t>CumulativeROA</w:t>
            </w:r>
            <w:r w:rsidRPr="00FD4A39">
              <w:rPr>
                <w:rFonts w:cs="Arial"/>
                <w:b/>
                <w:i/>
                <w:sz w:val="22"/>
                <w:szCs w:val="22"/>
                <w:vertAlign w:val="subscript"/>
              </w:rPr>
              <w:t>t+12</w:t>
            </w:r>
          </w:p>
        </w:tc>
        <w:tc>
          <w:tcPr>
            <w:tcW w:w="1320" w:type="dxa"/>
            <w:tcBorders>
              <w:top w:val="single" w:sz="4" w:space="0" w:color="auto"/>
            </w:tcBorders>
            <w:noWrap/>
            <w:vAlign w:val="bottom"/>
          </w:tcPr>
          <w:p w:rsidR="007124F0" w:rsidRPr="002C77BB" w:rsidRDefault="007124F0" w:rsidP="007124F0">
            <w:pPr>
              <w:jc w:val="center"/>
              <w:rPr>
                <w:rFonts w:cs="Arial"/>
                <w:sz w:val="22"/>
                <w:szCs w:val="22"/>
              </w:rPr>
            </w:pPr>
            <w:r w:rsidRPr="002C77BB">
              <w:rPr>
                <w:rFonts w:cs="Arial"/>
                <w:sz w:val="22"/>
                <w:szCs w:val="22"/>
              </w:rPr>
              <w:t>2</w:t>
            </w:r>
            <w:r>
              <w:rPr>
                <w:rFonts w:cs="Arial"/>
                <w:sz w:val="22"/>
                <w:szCs w:val="22"/>
              </w:rPr>
              <w:t>.</w:t>
            </w:r>
            <w:r w:rsidRPr="002C77BB">
              <w:rPr>
                <w:rFonts w:cs="Arial"/>
                <w:sz w:val="22"/>
                <w:szCs w:val="22"/>
              </w:rPr>
              <w:t>28</w:t>
            </w:r>
          </w:p>
        </w:tc>
        <w:tc>
          <w:tcPr>
            <w:tcW w:w="1229" w:type="dxa"/>
            <w:tcBorders>
              <w:top w:val="single" w:sz="4" w:space="0" w:color="auto"/>
            </w:tcBorders>
            <w:noWrap/>
            <w:vAlign w:val="bottom"/>
          </w:tcPr>
          <w:p w:rsidR="007124F0" w:rsidRPr="002C77BB" w:rsidRDefault="007124F0" w:rsidP="007124F0">
            <w:pPr>
              <w:jc w:val="center"/>
              <w:rPr>
                <w:rFonts w:cs="Arial"/>
                <w:sz w:val="22"/>
                <w:szCs w:val="22"/>
              </w:rPr>
            </w:pPr>
            <w:r w:rsidRPr="002C77BB">
              <w:rPr>
                <w:rFonts w:cs="Arial"/>
                <w:sz w:val="22"/>
                <w:szCs w:val="22"/>
              </w:rPr>
              <w:t>4</w:t>
            </w:r>
            <w:r>
              <w:rPr>
                <w:rFonts w:cs="Arial"/>
                <w:sz w:val="22"/>
                <w:szCs w:val="22"/>
              </w:rPr>
              <w:t>.</w:t>
            </w:r>
            <w:r w:rsidRPr="002C77BB">
              <w:rPr>
                <w:rFonts w:cs="Arial"/>
                <w:sz w:val="22"/>
                <w:szCs w:val="22"/>
              </w:rPr>
              <w:t>0</w:t>
            </w:r>
            <w:r>
              <w:rPr>
                <w:rFonts w:cs="Arial"/>
                <w:sz w:val="22"/>
                <w:szCs w:val="22"/>
              </w:rPr>
              <w:t>3</w:t>
            </w:r>
          </w:p>
        </w:tc>
        <w:tc>
          <w:tcPr>
            <w:tcW w:w="1739" w:type="dxa"/>
            <w:tcBorders>
              <w:top w:val="single" w:sz="4" w:space="0" w:color="auto"/>
            </w:tcBorders>
            <w:noWrap/>
            <w:vAlign w:val="bottom"/>
          </w:tcPr>
          <w:p w:rsidR="007124F0" w:rsidRPr="00FD4A39" w:rsidRDefault="007124F0" w:rsidP="007124F0">
            <w:pPr>
              <w:jc w:val="center"/>
              <w:rPr>
                <w:rFonts w:cs="Arial"/>
                <w:sz w:val="22"/>
                <w:szCs w:val="22"/>
              </w:rPr>
            </w:pPr>
            <w:r w:rsidRPr="002C77BB">
              <w:rPr>
                <w:rFonts w:cs="Arial"/>
                <w:sz w:val="22"/>
                <w:szCs w:val="22"/>
              </w:rPr>
              <w:t>-1</w:t>
            </w:r>
            <w:r>
              <w:rPr>
                <w:rFonts w:cs="Arial"/>
                <w:sz w:val="22"/>
                <w:szCs w:val="22"/>
              </w:rPr>
              <w:t>.</w:t>
            </w:r>
            <w:r w:rsidRPr="002C77BB">
              <w:rPr>
                <w:rFonts w:cs="Arial"/>
                <w:sz w:val="22"/>
                <w:szCs w:val="22"/>
              </w:rPr>
              <w:t>74</w:t>
            </w:r>
            <w:r w:rsidRPr="00FD4A39">
              <w:rPr>
                <w:rFonts w:cs="Arial"/>
                <w:sz w:val="22"/>
                <w:szCs w:val="22"/>
              </w:rPr>
              <w:t>***</w:t>
            </w:r>
          </w:p>
        </w:tc>
        <w:tc>
          <w:tcPr>
            <w:tcW w:w="1820" w:type="dxa"/>
            <w:tcBorders>
              <w:top w:val="single" w:sz="4" w:space="0" w:color="auto"/>
            </w:tcBorders>
            <w:noWrap/>
            <w:vAlign w:val="bottom"/>
          </w:tcPr>
          <w:p w:rsidR="007124F0" w:rsidRPr="00FD4A39" w:rsidRDefault="007124F0" w:rsidP="007124F0">
            <w:pPr>
              <w:jc w:val="center"/>
              <w:rPr>
                <w:rFonts w:cs="Arial"/>
                <w:sz w:val="22"/>
                <w:szCs w:val="22"/>
              </w:rPr>
            </w:pPr>
            <w:r w:rsidRPr="002C77BB">
              <w:rPr>
                <w:rFonts w:cs="Arial"/>
                <w:sz w:val="22"/>
                <w:szCs w:val="22"/>
              </w:rPr>
              <w:t>-</w:t>
            </w:r>
            <w:r>
              <w:rPr>
                <w:rFonts w:cs="Arial"/>
                <w:sz w:val="22"/>
                <w:szCs w:val="22"/>
              </w:rPr>
              <w:t>1.</w:t>
            </w:r>
            <w:r w:rsidRPr="002C77BB">
              <w:rPr>
                <w:rFonts w:cs="Arial"/>
                <w:sz w:val="22"/>
                <w:szCs w:val="22"/>
              </w:rPr>
              <w:t>82</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Pr>
                <w:rFonts w:cs="Arial"/>
                <w:sz w:val="22"/>
                <w:szCs w:val="22"/>
              </w:rPr>
              <w:t>0.</w:t>
            </w:r>
            <w:r w:rsidRPr="002C77BB">
              <w:rPr>
                <w:rFonts w:cs="Arial"/>
                <w:sz w:val="22"/>
                <w:szCs w:val="22"/>
              </w:rPr>
              <w:t>1</w:t>
            </w:r>
            <w:r>
              <w:rPr>
                <w:rFonts w:cs="Arial"/>
                <w:sz w:val="22"/>
                <w:szCs w:val="22"/>
              </w:rPr>
              <w:t>8</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Pr>
                <w:rFonts w:cs="Arial"/>
                <w:sz w:val="22"/>
                <w:szCs w:val="22"/>
              </w:rPr>
              <w:t>0.</w:t>
            </w:r>
            <w:r w:rsidRPr="002C77BB">
              <w:rPr>
                <w:rFonts w:cs="Arial"/>
                <w:sz w:val="22"/>
                <w:szCs w:val="22"/>
              </w:rPr>
              <w:t>1</w:t>
            </w:r>
            <w:r>
              <w:rPr>
                <w:rFonts w:cs="Arial"/>
                <w:sz w:val="22"/>
                <w:szCs w:val="22"/>
              </w:rPr>
              <w:t>8</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CumulativeROA</w:t>
            </w:r>
            <w:r w:rsidRPr="00FD4A39">
              <w:rPr>
                <w:rFonts w:cs="Arial"/>
                <w:b/>
                <w:i/>
                <w:sz w:val="22"/>
                <w:szCs w:val="22"/>
                <w:vertAlign w:val="subscript"/>
              </w:rPr>
              <w:t>t+24</w:t>
            </w:r>
          </w:p>
        </w:tc>
        <w:tc>
          <w:tcPr>
            <w:tcW w:w="1320" w:type="dxa"/>
            <w:noWrap/>
            <w:vAlign w:val="bottom"/>
          </w:tcPr>
          <w:p w:rsidR="007124F0" w:rsidRPr="0043572A" w:rsidRDefault="007124F0" w:rsidP="007124F0">
            <w:pPr>
              <w:jc w:val="center"/>
              <w:rPr>
                <w:rFonts w:cs="Arial"/>
                <w:sz w:val="22"/>
                <w:szCs w:val="22"/>
              </w:rPr>
            </w:pPr>
            <w:r w:rsidRPr="0043572A">
              <w:rPr>
                <w:rFonts w:cs="Arial"/>
                <w:sz w:val="22"/>
                <w:szCs w:val="22"/>
              </w:rPr>
              <w:t>4</w:t>
            </w:r>
            <w:r>
              <w:rPr>
                <w:rFonts w:cs="Arial"/>
                <w:sz w:val="22"/>
                <w:szCs w:val="22"/>
              </w:rPr>
              <w:t>.</w:t>
            </w:r>
            <w:r w:rsidRPr="0043572A">
              <w:rPr>
                <w:rFonts w:cs="Arial"/>
                <w:sz w:val="22"/>
                <w:szCs w:val="22"/>
              </w:rPr>
              <w:t>94</w:t>
            </w:r>
          </w:p>
        </w:tc>
        <w:tc>
          <w:tcPr>
            <w:tcW w:w="1229" w:type="dxa"/>
            <w:noWrap/>
            <w:vAlign w:val="bottom"/>
          </w:tcPr>
          <w:p w:rsidR="007124F0" w:rsidRPr="0043572A" w:rsidRDefault="007124F0" w:rsidP="007124F0">
            <w:pPr>
              <w:jc w:val="center"/>
              <w:rPr>
                <w:rFonts w:cs="Arial"/>
                <w:sz w:val="22"/>
                <w:szCs w:val="22"/>
              </w:rPr>
            </w:pPr>
            <w:r w:rsidRPr="0043572A">
              <w:rPr>
                <w:rFonts w:cs="Arial"/>
                <w:sz w:val="22"/>
                <w:szCs w:val="22"/>
              </w:rPr>
              <w:t>8</w:t>
            </w:r>
            <w:r>
              <w:rPr>
                <w:rFonts w:cs="Arial"/>
                <w:sz w:val="22"/>
                <w:szCs w:val="22"/>
              </w:rPr>
              <w:t>.</w:t>
            </w:r>
            <w:r w:rsidRPr="0043572A">
              <w:rPr>
                <w:rFonts w:cs="Arial"/>
                <w:sz w:val="22"/>
                <w:szCs w:val="22"/>
              </w:rPr>
              <w:t>32</w:t>
            </w:r>
          </w:p>
        </w:tc>
        <w:tc>
          <w:tcPr>
            <w:tcW w:w="1739" w:type="dxa"/>
            <w:noWrap/>
            <w:vAlign w:val="bottom"/>
          </w:tcPr>
          <w:p w:rsidR="007124F0" w:rsidRPr="00FD4A39" w:rsidRDefault="007124F0" w:rsidP="007124F0">
            <w:pPr>
              <w:jc w:val="center"/>
              <w:rPr>
                <w:rFonts w:cs="Arial"/>
                <w:sz w:val="22"/>
                <w:szCs w:val="22"/>
              </w:rPr>
            </w:pPr>
            <w:r w:rsidRPr="0043572A">
              <w:rPr>
                <w:rFonts w:cs="Arial"/>
                <w:sz w:val="22"/>
                <w:szCs w:val="22"/>
              </w:rPr>
              <w:t>-3</w:t>
            </w:r>
            <w:r>
              <w:rPr>
                <w:rFonts w:cs="Arial"/>
                <w:sz w:val="22"/>
                <w:szCs w:val="22"/>
              </w:rPr>
              <w:t>.</w:t>
            </w:r>
            <w:r w:rsidRPr="0043572A">
              <w:rPr>
                <w:rFonts w:cs="Arial"/>
                <w:sz w:val="22"/>
                <w:szCs w:val="22"/>
              </w:rPr>
              <w:t>38</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43572A">
              <w:rPr>
                <w:rFonts w:cs="Arial"/>
                <w:sz w:val="22"/>
                <w:szCs w:val="22"/>
              </w:rPr>
              <w:t>-3</w:t>
            </w:r>
            <w:r>
              <w:rPr>
                <w:rFonts w:cs="Arial"/>
                <w:sz w:val="22"/>
                <w:szCs w:val="22"/>
              </w:rPr>
              <w:t>.</w:t>
            </w:r>
            <w:r w:rsidRPr="0043572A">
              <w:rPr>
                <w:rFonts w:cs="Arial"/>
                <w:sz w:val="22"/>
                <w:szCs w:val="22"/>
              </w:rPr>
              <w:t>50</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30</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30</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CumulativeROA</w:t>
            </w:r>
            <w:r w:rsidRPr="00FD4A39">
              <w:rPr>
                <w:rFonts w:cs="Arial"/>
                <w:b/>
                <w:i/>
                <w:sz w:val="22"/>
                <w:szCs w:val="22"/>
                <w:vertAlign w:val="subscript"/>
              </w:rPr>
              <w:t>t+36</w:t>
            </w:r>
          </w:p>
        </w:tc>
        <w:tc>
          <w:tcPr>
            <w:tcW w:w="1320" w:type="dxa"/>
            <w:noWrap/>
            <w:vAlign w:val="bottom"/>
          </w:tcPr>
          <w:p w:rsidR="007124F0" w:rsidRPr="0043572A" w:rsidRDefault="007124F0" w:rsidP="007124F0">
            <w:pPr>
              <w:jc w:val="center"/>
              <w:rPr>
                <w:rFonts w:cs="Arial"/>
                <w:sz w:val="22"/>
                <w:szCs w:val="22"/>
              </w:rPr>
            </w:pPr>
            <w:r w:rsidRPr="0043572A">
              <w:rPr>
                <w:rFonts w:cs="Arial"/>
                <w:sz w:val="22"/>
                <w:szCs w:val="22"/>
              </w:rPr>
              <w:t>7</w:t>
            </w:r>
            <w:r>
              <w:rPr>
                <w:rFonts w:cs="Arial"/>
                <w:sz w:val="22"/>
                <w:szCs w:val="22"/>
              </w:rPr>
              <w:t>.</w:t>
            </w:r>
            <w:r w:rsidRPr="0043572A">
              <w:rPr>
                <w:rFonts w:cs="Arial"/>
                <w:sz w:val="22"/>
                <w:szCs w:val="22"/>
              </w:rPr>
              <w:t>6</w:t>
            </w:r>
            <w:r>
              <w:rPr>
                <w:rFonts w:cs="Arial"/>
                <w:sz w:val="22"/>
                <w:szCs w:val="22"/>
              </w:rPr>
              <w:t>8</w:t>
            </w:r>
          </w:p>
        </w:tc>
        <w:tc>
          <w:tcPr>
            <w:tcW w:w="1229" w:type="dxa"/>
            <w:noWrap/>
            <w:vAlign w:val="bottom"/>
          </w:tcPr>
          <w:p w:rsidR="007124F0" w:rsidRPr="0043572A" w:rsidRDefault="007124F0" w:rsidP="007124F0">
            <w:pPr>
              <w:jc w:val="center"/>
              <w:rPr>
                <w:rFonts w:cs="Arial"/>
                <w:sz w:val="22"/>
                <w:szCs w:val="22"/>
              </w:rPr>
            </w:pPr>
            <w:r w:rsidRPr="0043572A">
              <w:rPr>
                <w:rFonts w:cs="Arial"/>
                <w:sz w:val="22"/>
                <w:szCs w:val="22"/>
              </w:rPr>
              <w:t>12</w:t>
            </w:r>
            <w:r>
              <w:rPr>
                <w:rFonts w:cs="Arial"/>
                <w:sz w:val="22"/>
                <w:szCs w:val="22"/>
              </w:rPr>
              <w:t>.</w:t>
            </w:r>
            <w:r w:rsidRPr="0043572A">
              <w:rPr>
                <w:rFonts w:cs="Arial"/>
                <w:sz w:val="22"/>
                <w:szCs w:val="22"/>
              </w:rPr>
              <w:t>59</w:t>
            </w:r>
          </w:p>
        </w:tc>
        <w:tc>
          <w:tcPr>
            <w:tcW w:w="1739" w:type="dxa"/>
            <w:noWrap/>
            <w:vAlign w:val="bottom"/>
          </w:tcPr>
          <w:p w:rsidR="007124F0" w:rsidRPr="00FD4A39" w:rsidRDefault="007124F0" w:rsidP="007124F0">
            <w:pPr>
              <w:jc w:val="center"/>
              <w:rPr>
                <w:rFonts w:cs="Arial"/>
                <w:sz w:val="22"/>
                <w:szCs w:val="22"/>
              </w:rPr>
            </w:pPr>
            <w:r w:rsidRPr="0043572A">
              <w:rPr>
                <w:rFonts w:cs="Arial"/>
                <w:sz w:val="22"/>
                <w:szCs w:val="22"/>
              </w:rPr>
              <w:t>-4</w:t>
            </w:r>
            <w:r>
              <w:rPr>
                <w:rFonts w:cs="Arial"/>
                <w:sz w:val="22"/>
                <w:szCs w:val="22"/>
              </w:rPr>
              <w:t>.</w:t>
            </w:r>
            <w:r w:rsidRPr="0043572A">
              <w:rPr>
                <w:rFonts w:cs="Arial"/>
                <w:sz w:val="22"/>
                <w:szCs w:val="22"/>
              </w:rPr>
              <w:t>91</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43572A">
              <w:rPr>
                <w:rFonts w:cs="Arial"/>
                <w:sz w:val="22"/>
                <w:szCs w:val="22"/>
              </w:rPr>
              <w:t>-5</w:t>
            </w:r>
            <w:r>
              <w:rPr>
                <w:rFonts w:cs="Arial"/>
                <w:sz w:val="22"/>
                <w:szCs w:val="22"/>
              </w:rPr>
              <w:t>.</w:t>
            </w:r>
            <w:r w:rsidRPr="0043572A">
              <w:rPr>
                <w:rFonts w:cs="Arial"/>
                <w:sz w:val="22"/>
                <w:szCs w:val="22"/>
              </w:rPr>
              <w:t>1</w:t>
            </w:r>
            <w:r>
              <w:rPr>
                <w:rFonts w:cs="Arial"/>
                <w:sz w:val="22"/>
                <w:szCs w:val="22"/>
              </w:rPr>
              <w:t>4</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43</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43</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b/>
                <w:sz w:val="22"/>
                <w:szCs w:val="22"/>
              </w:rPr>
            </w:pPr>
          </w:p>
          <w:p w:rsidR="007124F0" w:rsidRPr="00FD4A39" w:rsidRDefault="007124F0" w:rsidP="007124F0">
            <w:pPr>
              <w:rPr>
                <w:rFonts w:cs="Arial"/>
                <w:b/>
                <w:sz w:val="22"/>
                <w:szCs w:val="22"/>
              </w:rPr>
            </w:pPr>
            <w:r w:rsidRPr="00FD4A39">
              <w:rPr>
                <w:rFonts w:cs="Arial"/>
                <w:b/>
                <w:sz w:val="22"/>
                <w:szCs w:val="22"/>
              </w:rPr>
              <w:t xml:space="preserve">Panel B – Treatment: </w:t>
            </w:r>
            <w:r w:rsidRPr="00FD4A39">
              <w:rPr>
                <w:rFonts w:cs="Arial"/>
                <w:b/>
                <w:i/>
                <w:sz w:val="22"/>
                <w:szCs w:val="22"/>
              </w:rPr>
              <w:t>SecuredBookLeverage</w:t>
            </w:r>
            <w:r w:rsidRPr="00FD4A39">
              <w:rPr>
                <w:rFonts w:cs="Arial"/>
                <w:b/>
                <w:sz w:val="22"/>
                <w:szCs w:val="22"/>
              </w:rPr>
              <w:t>&gt;Median</w:t>
            </w:r>
          </w:p>
          <w:p w:rsidR="007124F0" w:rsidRPr="00FD4A39" w:rsidRDefault="007124F0" w:rsidP="007124F0">
            <w:pPr>
              <w:rPr>
                <w:rFonts w:cs="Arial"/>
                <w:b/>
                <w:sz w:val="22"/>
                <w:szCs w:val="22"/>
              </w:rPr>
            </w:pPr>
          </w:p>
        </w:tc>
        <w:tc>
          <w:tcPr>
            <w:tcW w:w="1320" w:type="dxa"/>
            <w:noWrap/>
            <w:vAlign w:val="bottom"/>
          </w:tcPr>
          <w:p w:rsidR="007124F0" w:rsidRPr="00FD4A39" w:rsidRDefault="007124F0" w:rsidP="007124F0">
            <w:pPr>
              <w:rPr>
                <w:rFonts w:cs="Arial"/>
                <w:sz w:val="22"/>
                <w:szCs w:val="22"/>
              </w:rPr>
            </w:pPr>
          </w:p>
        </w:tc>
        <w:tc>
          <w:tcPr>
            <w:tcW w:w="1229" w:type="dxa"/>
            <w:noWrap/>
            <w:vAlign w:val="bottom"/>
          </w:tcPr>
          <w:p w:rsidR="007124F0" w:rsidRPr="00FD4A39" w:rsidRDefault="007124F0" w:rsidP="007124F0">
            <w:pPr>
              <w:rPr>
                <w:rFonts w:cs="Arial"/>
                <w:sz w:val="22"/>
                <w:szCs w:val="22"/>
              </w:rPr>
            </w:pPr>
          </w:p>
        </w:tc>
        <w:tc>
          <w:tcPr>
            <w:tcW w:w="1739" w:type="dxa"/>
            <w:noWrap/>
            <w:vAlign w:val="bottom"/>
          </w:tcPr>
          <w:p w:rsidR="007124F0" w:rsidRPr="00FD4A39" w:rsidRDefault="007124F0" w:rsidP="007124F0">
            <w:pPr>
              <w:jc w:val="center"/>
              <w:rPr>
                <w:rFonts w:cs="Arial"/>
                <w:sz w:val="22"/>
                <w:szCs w:val="22"/>
              </w:rPr>
            </w:pPr>
          </w:p>
        </w:tc>
        <w:tc>
          <w:tcPr>
            <w:tcW w:w="1820" w:type="dxa"/>
            <w:noWrap/>
            <w:vAlign w:val="bottom"/>
          </w:tcPr>
          <w:p w:rsidR="007124F0" w:rsidRPr="00FD4A39" w:rsidRDefault="007124F0" w:rsidP="007124F0">
            <w:pPr>
              <w:jc w:val="center"/>
              <w:rPr>
                <w:rFonts w:cs="Arial"/>
                <w:sz w:val="22"/>
                <w:szCs w:val="22"/>
              </w:rPr>
            </w:pP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CumulativeROA</w:t>
            </w:r>
            <w:r w:rsidRPr="00FD4A39">
              <w:rPr>
                <w:rFonts w:cs="Arial"/>
                <w:b/>
                <w:i/>
                <w:sz w:val="22"/>
                <w:szCs w:val="22"/>
                <w:vertAlign w:val="subscript"/>
              </w:rPr>
              <w:t>t+12</w:t>
            </w:r>
          </w:p>
        </w:tc>
        <w:tc>
          <w:tcPr>
            <w:tcW w:w="1320" w:type="dxa"/>
            <w:noWrap/>
            <w:vAlign w:val="bottom"/>
          </w:tcPr>
          <w:p w:rsidR="007124F0" w:rsidRPr="0043572A" w:rsidRDefault="007124F0" w:rsidP="007124F0">
            <w:pPr>
              <w:jc w:val="center"/>
              <w:rPr>
                <w:rFonts w:cs="Arial"/>
                <w:sz w:val="22"/>
                <w:szCs w:val="22"/>
              </w:rPr>
            </w:pPr>
            <w:r w:rsidRPr="0043572A">
              <w:rPr>
                <w:rFonts w:cs="Arial"/>
                <w:sz w:val="22"/>
                <w:szCs w:val="22"/>
              </w:rPr>
              <w:t>2</w:t>
            </w:r>
            <w:r>
              <w:rPr>
                <w:rFonts w:cs="Arial"/>
                <w:sz w:val="22"/>
                <w:szCs w:val="22"/>
              </w:rPr>
              <w:t>.</w:t>
            </w:r>
            <w:r w:rsidRPr="0043572A">
              <w:rPr>
                <w:rFonts w:cs="Arial"/>
                <w:sz w:val="22"/>
                <w:szCs w:val="22"/>
              </w:rPr>
              <w:t>3</w:t>
            </w:r>
            <w:r>
              <w:rPr>
                <w:rFonts w:cs="Arial"/>
                <w:sz w:val="22"/>
                <w:szCs w:val="22"/>
              </w:rPr>
              <w:t>6</w:t>
            </w:r>
          </w:p>
        </w:tc>
        <w:tc>
          <w:tcPr>
            <w:tcW w:w="1229" w:type="dxa"/>
            <w:noWrap/>
            <w:vAlign w:val="bottom"/>
          </w:tcPr>
          <w:p w:rsidR="007124F0" w:rsidRPr="0043572A" w:rsidRDefault="007124F0" w:rsidP="007124F0">
            <w:pPr>
              <w:jc w:val="center"/>
              <w:rPr>
                <w:rFonts w:cs="Arial"/>
                <w:sz w:val="22"/>
                <w:szCs w:val="22"/>
              </w:rPr>
            </w:pPr>
            <w:r w:rsidRPr="0043572A">
              <w:rPr>
                <w:rFonts w:cs="Arial"/>
                <w:sz w:val="22"/>
                <w:szCs w:val="22"/>
              </w:rPr>
              <w:t>4</w:t>
            </w:r>
            <w:r>
              <w:rPr>
                <w:rFonts w:cs="Arial"/>
                <w:sz w:val="22"/>
                <w:szCs w:val="22"/>
              </w:rPr>
              <w:t>.</w:t>
            </w:r>
            <w:r w:rsidRPr="0043572A">
              <w:rPr>
                <w:rFonts w:cs="Arial"/>
                <w:sz w:val="22"/>
                <w:szCs w:val="22"/>
              </w:rPr>
              <w:t>05</w:t>
            </w:r>
          </w:p>
        </w:tc>
        <w:tc>
          <w:tcPr>
            <w:tcW w:w="1739" w:type="dxa"/>
            <w:noWrap/>
            <w:vAlign w:val="bottom"/>
          </w:tcPr>
          <w:p w:rsidR="007124F0" w:rsidRPr="00FD4A39" w:rsidRDefault="007124F0" w:rsidP="007124F0">
            <w:pPr>
              <w:jc w:val="center"/>
              <w:rPr>
                <w:rFonts w:cs="Arial"/>
                <w:sz w:val="22"/>
                <w:szCs w:val="22"/>
              </w:rPr>
            </w:pPr>
            <w:r w:rsidRPr="0043572A">
              <w:rPr>
                <w:rFonts w:cs="Arial"/>
                <w:sz w:val="22"/>
                <w:szCs w:val="22"/>
              </w:rPr>
              <w:t>-1</w:t>
            </w:r>
            <w:r>
              <w:rPr>
                <w:rFonts w:cs="Arial"/>
                <w:sz w:val="22"/>
                <w:szCs w:val="22"/>
              </w:rPr>
              <w:t>.70</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43572A">
              <w:rPr>
                <w:rFonts w:cs="Arial"/>
                <w:sz w:val="22"/>
                <w:szCs w:val="22"/>
              </w:rPr>
              <w:t>-1</w:t>
            </w:r>
            <w:r>
              <w:rPr>
                <w:rFonts w:cs="Arial"/>
                <w:sz w:val="22"/>
                <w:szCs w:val="22"/>
              </w:rPr>
              <w:t>.</w:t>
            </w:r>
            <w:r w:rsidRPr="0043572A">
              <w:rPr>
                <w:rFonts w:cs="Arial"/>
                <w:sz w:val="22"/>
                <w:szCs w:val="22"/>
              </w:rPr>
              <w:t>84</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1</w:t>
            </w:r>
            <w:r>
              <w:rPr>
                <w:rFonts w:cs="Arial"/>
                <w:sz w:val="22"/>
                <w:szCs w:val="22"/>
              </w:rPr>
              <w:t>8</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1</w:t>
            </w:r>
            <w:r>
              <w:rPr>
                <w:rFonts w:cs="Arial"/>
                <w:sz w:val="22"/>
                <w:szCs w:val="22"/>
              </w:rPr>
              <w:t>8</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CumulativeROA</w:t>
            </w:r>
            <w:r w:rsidRPr="00FD4A39">
              <w:rPr>
                <w:rFonts w:cs="Arial"/>
                <w:b/>
                <w:i/>
                <w:sz w:val="22"/>
                <w:szCs w:val="22"/>
                <w:vertAlign w:val="subscript"/>
              </w:rPr>
              <w:t>t+24</w:t>
            </w:r>
          </w:p>
        </w:tc>
        <w:tc>
          <w:tcPr>
            <w:tcW w:w="1320" w:type="dxa"/>
            <w:noWrap/>
            <w:vAlign w:val="bottom"/>
          </w:tcPr>
          <w:p w:rsidR="007124F0" w:rsidRPr="0043572A" w:rsidRDefault="007124F0" w:rsidP="007124F0">
            <w:pPr>
              <w:jc w:val="center"/>
              <w:rPr>
                <w:rFonts w:cs="Arial"/>
                <w:sz w:val="22"/>
                <w:szCs w:val="22"/>
              </w:rPr>
            </w:pPr>
            <w:r w:rsidRPr="0043572A">
              <w:rPr>
                <w:rFonts w:cs="Arial"/>
                <w:sz w:val="22"/>
                <w:szCs w:val="22"/>
              </w:rPr>
              <w:t>4</w:t>
            </w:r>
            <w:r>
              <w:rPr>
                <w:rFonts w:cs="Arial"/>
                <w:sz w:val="22"/>
                <w:szCs w:val="22"/>
              </w:rPr>
              <w:t>.</w:t>
            </w:r>
            <w:r w:rsidRPr="0043572A">
              <w:rPr>
                <w:rFonts w:cs="Arial"/>
                <w:sz w:val="22"/>
                <w:szCs w:val="22"/>
              </w:rPr>
              <w:t>97</w:t>
            </w:r>
          </w:p>
        </w:tc>
        <w:tc>
          <w:tcPr>
            <w:tcW w:w="1229" w:type="dxa"/>
            <w:noWrap/>
            <w:vAlign w:val="bottom"/>
          </w:tcPr>
          <w:p w:rsidR="007124F0" w:rsidRPr="0043572A" w:rsidRDefault="007124F0" w:rsidP="007124F0">
            <w:pPr>
              <w:jc w:val="center"/>
              <w:rPr>
                <w:rFonts w:cs="Arial"/>
                <w:sz w:val="22"/>
                <w:szCs w:val="22"/>
              </w:rPr>
            </w:pPr>
            <w:r w:rsidRPr="0043572A">
              <w:rPr>
                <w:rFonts w:cs="Arial"/>
                <w:sz w:val="22"/>
                <w:szCs w:val="22"/>
              </w:rPr>
              <w:t>8</w:t>
            </w:r>
            <w:r>
              <w:rPr>
                <w:rFonts w:cs="Arial"/>
                <w:sz w:val="22"/>
                <w:szCs w:val="22"/>
              </w:rPr>
              <w:t>.30</w:t>
            </w:r>
          </w:p>
        </w:tc>
        <w:tc>
          <w:tcPr>
            <w:tcW w:w="1739" w:type="dxa"/>
            <w:noWrap/>
            <w:vAlign w:val="bottom"/>
          </w:tcPr>
          <w:p w:rsidR="007124F0" w:rsidRPr="00FD4A39" w:rsidRDefault="007124F0" w:rsidP="007124F0">
            <w:pPr>
              <w:jc w:val="center"/>
              <w:rPr>
                <w:rFonts w:cs="Arial"/>
                <w:sz w:val="22"/>
                <w:szCs w:val="22"/>
              </w:rPr>
            </w:pPr>
            <w:r w:rsidRPr="0043572A">
              <w:rPr>
                <w:rFonts w:cs="Arial"/>
                <w:sz w:val="22"/>
                <w:szCs w:val="22"/>
              </w:rPr>
              <w:t>-3</w:t>
            </w:r>
            <w:r>
              <w:rPr>
                <w:rFonts w:cs="Arial"/>
                <w:sz w:val="22"/>
                <w:szCs w:val="22"/>
              </w:rPr>
              <w:t>.</w:t>
            </w:r>
            <w:r w:rsidRPr="0043572A">
              <w:rPr>
                <w:rFonts w:cs="Arial"/>
                <w:sz w:val="22"/>
                <w:szCs w:val="22"/>
              </w:rPr>
              <w:t>32</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43572A">
              <w:rPr>
                <w:rFonts w:cs="Arial"/>
                <w:sz w:val="22"/>
                <w:szCs w:val="22"/>
              </w:rPr>
              <w:t>-3</w:t>
            </w:r>
            <w:r>
              <w:rPr>
                <w:rFonts w:cs="Arial"/>
                <w:sz w:val="22"/>
                <w:szCs w:val="22"/>
              </w:rPr>
              <w:t>.</w:t>
            </w:r>
            <w:r w:rsidRPr="0043572A">
              <w:rPr>
                <w:rFonts w:cs="Arial"/>
                <w:sz w:val="22"/>
                <w:szCs w:val="22"/>
              </w:rPr>
              <w:t>63</w:t>
            </w:r>
            <w:r w:rsidRPr="00FD4A39">
              <w:rPr>
                <w:rFonts w:cs="Arial"/>
                <w:sz w:val="22"/>
                <w:szCs w:val="22"/>
              </w:rPr>
              <w:t>***</w:t>
            </w:r>
          </w:p>
        </w:tc>
      </w:tr>
      <w:tr w:rsidR="007124F0" w:rsidRPr="00FD4A39" w:rsidTr="007124F0">
        <w:trPr>
          <w:trHeight w:val="264"/>
        </w:trPr>
        <w:tc>
          <w:tcPr>
            <w:tcW w:w="3368" w:type="dxa"/>
            <w:noWrap/>
          </w:tcPr>
          <w:p w:rsidR="007124F0" w:rsidRPr="00FD4A39" w:rsidRDefault="007124F0" w:rsidP="007124F0">
            <w:pPr>
              <w:jc w:val="center"/>
              <w:rPr>
                <w:rFonts w:cs="Arial"/>
                <w:i/>
                <w:sz w:val="22"/>
                <w:szCs w:val="22"/>
              </w:rPr>
            </w:pPr>
          </w:p>
        </w:tc>
        <w:tc>
          <w:tcPr>
            <w:tcW w:w="1320" w:type="dxa"/>
            <w:noWrap/>
          </w:tcPr>
          <w:p w:rsidR="007124F0" w:rsidRPr="00FD4A39" w:rsidRDefault="007124F0" w:rsidP="007124F0">
            <w:pPr>
              <w:jc w:val="center"/>
              <w:rPr>
                <w:rFonts w:cs="Arial"/>
                <w:sz w:val="22"/>
                <w:szCs w:val="22"/>
              </w:rPr>
            </w:pPr>
          </w:p>
        </w:tc>
        <w:tc>
          <w:tcPr>
            <w:tcW w:w="1229" w:type="dxa"/>
            <w:noWrap/>
          </w:tcPr>
          <w:p w:rsidR="007124F0" w:rsidRPr="00FD4A39" w:rsidRDefault="007124F0" w:rsidP="007124F0">
            <w:pPr>
              <w:jc w:val="center"/>
              <w:rPr>
                <w:rFonts w:cs="Arial"/>
                <w:sz w:val="22"/>
                <w:szCs w:val="22"/>
              </w:rPr>
            </w:pPr>
          </w:p>
        </w:tc>
        <w:tc>
          <w:tcPr>
            <w:tcW w:w="1739"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2</w:t>
            </w:r>
            <w:r>
              <w:rPr>
                <w:rFonts w:cs="Arial"/>
                <w:sz w:val="22"/>
                <w:szCs w:val="22"/>
              </w:rPr>
              <w:t>9</w:t>
            </w:r>
            <w:r w:rsidRPr="00FD4A39">
              <w:rPr>
                <w:rFonts w:cs="Arial"/>
                <w:sz w:val="22"/>
                <w:szCs w:val="22"/>
              </w:rPr>
              <w:t>)</w:t>
            </w:r>
          </w:p>
        </w:tc>
        <w:tc>
          <w:tcPr>
            <w:tcW w:w="1820" w:type="dxa"/>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2</w:t>
            </w:r>
            <w:r>
              <w:rPr>
                <w:rFonts w:cs="Arial"/>
                <w:sz w:val="22"/>
                <w:szCs w:val="22"/>
              </w:rPr>
              <w:t>9</w:t>
            </w:r>
            <w:r w:rsidRPr="00FD4A39">
              <w:rPr>
                <w:rFonts w:cs="Arial"/>
                <w:sz w:val="22"/>
                <w:szCs w:val="22"/>
              </w:rPr>
              <w:t>)</w:t>
            </w:r>
          </w:p>
        </w:tc>
      </w:tr>
      <w:tr w:rsidR="007124F0" w:rsidRPr="00FD4A39" w:rsidTr="007124F0">
        <w:trPr>
          <w:trHeight w:val="264"/>
        </w:trPr>
        <w:tc>
          <w:tcPr>
            <w:tcW w:w="3368" w:type="dxa"/>
            <w:noWrap/>
            <w:vAlign w:val="bottom"/>
          </w:tcPr>
          <w:p w:rsidR="007124F0" w:rsidRPr="00FD4A39" w:rsidRDefault="007124F0" w:rsidP="007124F0">
            <w:pPr>
              <w:rPr>
                <w:rFonts w:cs="Arial"/>
                <w:i/>
                <w:sz w:val="22"/>
                <w:szCs w:val="22"/>
              </w:rPr>
            </w:pPr>
            <w:r w:rsidRPr="00FD4A39">
              <w:rPr>
                <w:rFonts w:cs="Arial"/>
                <w:i/>
                <w:sz w:val="22"/>
                <w:szCs w:val="22"/>
              </w:rPr>
              <w:t>CumulativeROA</w:t>
            </w:r>
            <w:r w:rsidRPr="00FD4A39">
              <w:rPr>
                <w:rFonts w:cs="Arial"/>
                <w:b/>
                <w:i/>
                <w:sz w:val="22"/>
                <w:szCs w:val="22"/>
                <w:vertAlign w:val="subscript"/>
              </w:rPr>
              <w:t>t+36</w:t>
            </w:r>
          </w:p>
        </w:tc>
        <w:tc>
          <w:tcPr>
            <w:tcW w:w="1320" w:type="dxa"/>
            <w:noWrap/>
            <w:vAlign w:val="bottom"/>
          </w:tcPr>
          <w:p w:rsidR="007124F0" w:rsidRPr="0043572A" w:rsidRDefault="007124F0" w:rsidP="007124F0">
            <w:pPr>
              <w:jc w:val="center"/>
              <w:rPr>
                <w:rFonts w:cs="Arial"/>
                <w:sz w:val="22"/>
                <w:szCs w:val="22"/>
              </w:rPr>
            </w:pPr>
            <w:r w:rsidRPr="0043572A">
              <w:rPr>
                <w:rFonts w:cs="Arial"/>
                <w:sz w:val="22"/>
                <w:szCs w:val="22"/>
              </w:rPr>
              <w:t>7</w:t>
            </w:r>
            <w:r>
              <w:rPr>
                <w:rFonts w:cs="Arial"/>
                <w:sz w:val="22"/>
                <w:szCs w:val="22"/>
              </w:rPr>
              <w:t>.60</w:t>
            </w:r>
          </w:p>
        </w:tc>
        <w:tc>
          <w:tcPr>
            <w:tcW w:w="1229" w:type="dxa"/>
            <w:noWrap/>
            <w:vAlign w:val="bottom"/>
          </w:tcPr>
          <w:p w:rsidR="007124F0" w:rsidRPr="0043572A" w:rsidRDefault="007124F0" w:rsidP="007124F0">
            <w:pPr>
              <w:jc w:val="center"/>
              <w:rPr>
                <w:rFonts w:cs="Arial"/>
                <w:sz w:val="22"/>
                <w:szCs w:val="22"/>
              </w:rPr>
            </w:pPr>
            <w:r w:rsidRPr="0043572A">
              <w:rPr>
                <w:rFonts w:cs="Arial"/>
                <w:sz w:val="22"/>
                <w:szCs w:val="22"/>
              </w:rPr>
              <w:t>12</w:t>
            </w:r>
            <w:r>
              <w:rPr>
                <w:rFonts w:cs="Arial"/>
                <w:sz w:val="22"/>
                <w:szCs w:val="22"/>
              </w:rPr>
              <w:t>.</w:t>
            </w:r>
            <w:r w:rsidRPr="0043572A">
              <w:rPr>
                <w:rFonts w:cs="Arial"/>
                <w:sz w:val="22"/>
                <w:szCs w:val="22"/>
              </w:rPr>
              <w:t>7</w:t>
            </w:r>
            <w:r>
              <w:rPr>
                <w:rFonts w:cs="Arial"/>
                <w:sz w:val="22"/>
                <w:szCs w:val="22"/>
              </w:rPr>
              <w:t>1</w:t>
            </w:r>
          </w:p>
        </w:tc>
        <w:tc>
          <w:tcPr>
            <w:tcW w:w="1739" w:type="dxa"/>
            <w:noWrap/>
            <w:vAlign w:val="bottom"/>
          </w:tcPr>
          <w:p w:rsidR="007124F0" w:rsidRPr="00FD4A39" w:rsidRDefault="007124F0" w:rsidP="007124F0">
            <w:pPr>
              <w:jc w:val="center"/>
              <w:rPr>
                <w:rFonts w:cs="Arial"/>
                <w:sz w:val="22"/>
                <w:szCs w:val="22"/>
              </w:rPr>
            </w:pPr>
            <w:r w:rsidRPr="0043572A">
              <w:rPr>
                <w:rFonts w:cs="Arial"/>
                <w:sz w:val="22"/>
                <w:szCs w:val="22"/>
              </w:rPr>
              <w:t>-5</w:t>
            </w:r>
            <w:r>
              <w:rPr>
                <w:rFonts w:cs="Arial"/>
                <w:sz w:val="22"/>
                <w:szCs w:val="22"/>
              </w:rPr>
              <w:t>.</w:t>
            </w:r>
            <w:r w:rsidRPr="0043572A">
              <w:rPr>
                <w:rFonts w:cs="Arial"/>
                <w:sz w:val="22"/>
                <w:szCs w:val="22"/>
              </w:rPr>
              <w:t>1</w:t>
            </w:r>
            <w:r>
              <w:rPr>
                <w:rFonts w:cs="Arial"/>
                <w:sz w:val="22"/>
                <w:szCs w:val="22"/>
              </w:rPr>
              <w:t>1</w:t>
            </w:r>
            <w:r w:rsidRPr="00FD4A39">
              <w:rPr>
                <w:rFonts w:cs="Arial"/>
                <w:sz w:val="22"/>
                <w:szCs w:val="22"/>
              </w:rPr>
              <w:t>***</w:t>
            </w:r>
          </w:p>
        </w:tc>
        <w:tc>
          <w:tcPr>
            <w:tcW w:w="1820" w:type="dxa"/>
            <w:noWrap/>
            <w:vAlign w:val="bottom"/>
          </w:tcPr>
          <w:p w:rsidR="007124F0" w:rsidRPr="00FD4A39" w:rsidRDefault="007124F0" w:rsidP="007124F0">
            <w:pPr>
              <w:jc w:val="center"/>
              <w:rPr>
                <w:rFonts w:cs="Arial"/>
                <w:sz w:val="22"/>
                <w:szCs w:val="22"/>
              </w:rPr>
            </w:pPr>
            <w:r w:rsidRPr="0043572A">
              <w:rPr>
                <w:rFonts w:cs="Arial"/>
                <w:sz w:val="22"/>
                <w:szCs w:val="22"/>
              </w:rPr>
              <w:t>-5</w:t>
            </w:r>
            <w:r>
              <w:rPr>
                <w:rFonts w:cs="Arial"/>
                <w:sz w:val="22"/>
                <w:szCs w:val="22"/>
              </w:rPr>
              <w:t>.</w:t>
            </w:r>
            <w:r w:rsidRPr="0043572A">
              <w:rPr>
                <w:rFonts w:cs="Arial"/>
                <w:sz w:val="22"/>
                <w:szCs w:val="22"/>
              </w:rPr>
              <w:t>65</w:t>
            </w:r>
            <w:r w:rsidRPr="00FD4A39">
              <w:rPr>
                <w:rFonts w:cs="Arial"/>
                <w:sz w:val="22"/>
                <w:szCs w:val="22"/>
              </w:rPr>
              <w:t>***</w:t>
            </w:r>
          </w:p>
        </w:tc>
      </w:tr>
      <w:tr w:rsidR="007124F0" w:rsidRPr="00FD4A39" w:rsidTr="007124F0">
        <w:trPr>
          <w:trHeight w:val="264"/>
        </w:trPr>
        <w:tc>
          <w:tcPr>
            <w:tcW w:w="3368" w:type="dxa"/>
            <w:tcBorders>
              <w:bottom w:val="double" w:sz="4" w:space="0" w:color="auto"/>
            </w:tcBorders>
            <w:noWrap/>
          </w:tcPr>
          <w:p w:rsidR="007124F0" w:rsidRPr="00FD4A39" w:rsidRDefault="007124F0" w:rsidP="007124F0">
            <w:pPr>
              <w:jc w:val="center"/>
              <w:rPr>
                <w:rFonts w:cs="Arial"/>
                <w:sz w:val="22"/>
                <w:szCs w:val="22"/>
              </w:rPr>
            </w:pPr>
          </w:p>
        </w:tc>
        <w:tc>
          <w:tcPr>
            <w:tcW w:w="1320" w:type="dxa"/>
            <w:tcBorders>
              <w:bottom w:val="double" w:sz="4" w:space="0" w:color="auto"/>
            </w:tcBorders>
            <w:noWrap/>
          </w:tcPr>
          <w:p w:rsidR="007124F0" w:rsidRPr="00FD4A39" w:rsidRDefault="007124F0" w:rsidP="007124F0">
            <w:pPr>
              <w:jc w:val="center"/>
              <w:rPr>
                <w:rFonts w:cs="Arial"/>
                <w:sz w:val="22"/>
                <w:szCs w:val="22"/>
              </w:rPr>
            </w:pPr>
          </w:p>
        </w:tc>
        <w:tc>
          <w:tcPr>
            <w:tcW w:w="1229" w:type="dxa"/>
            <w:tcBorders>
              <w:bottom w:val="double" w:sz="4" w:space="0" w:color="auto"/>
            </w:tcBorders>
            <w:noWrap/>
          </w:tcPr>
          <w:p w:rsidR="007124F0" w:rsidRPr="00FD4A39" w:rsidRDefault="007124F0" w:rsidP="007124F0">
            <w:pPr>
              <w:jc w:val="center"/>
              <w:rPr>
                <w:rFonts w:cs="Arial"/>
                <w:sz w:val="22"/>
                <w:szCs w:val="22"/>
              </w:rPr>
            </w:pPr>
          </w:p>
        </w:tc>
        <w:tc>
          <w:tcPr>
            <w:tcW w:w="1739" w:type="dxa"/>
            <w:tcBorders>
              <w:bottom w:val="double" w:sz="4" w:space="0" w:color="auto"/>
            </w:tcBorders>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43</w:t>
            </w:r>
            <w:r w:rsidRPr="00FD4A39">
              <w:rPr>
                <w:rFonts w:cs="Arial"/>
                <w:sz w:val="22"/>
                <w:szCs w:val="22"/>
              </w:rPr>
              <w:t>)</w:t>
            </w:r>
          </w:p>
        </w:tc>
        <w:tc>
          <w:tcPr>
            <w:tcW w:w="1820" w:type="dxa"/>
            <w:tcBorders>
              <w:bottom w:val="double" w:sz="4" w:space="0" w:color="auto"/>
            </w:tcBorders>
            <w:noWrap/>
          </w:tcPr>
          <w:p w:rsidR="007124F0" w:rsidRPr="00FD4A39" w:rsidRDefault="007124F0" w:rsidP="007124F0">
            <w:pPr>
              <w:jc w:val="center"/>
              <w:rPr>
                <w:rFonts w:cs="Arial"/>
                <w:sz w:val="22"/>
                <w:szCs w:val="22"/>
              </w:rPr>
            </w:pPr>
            <w:r w:rsidRPr="00FD4A39">
              <w:rPr>
                <w:rFonts w:cs="Arial"/>
                <w:sz w:val="22"/>
                <w:szCs w:val="22"/>
              </w:rPr>
              <w:t>(</w:t>
            </w:r>
            <w:r w:rsidRPr="0043572A">
              <w:rPr>
                <w:rFonts w:cs="Arial"/>
                <w:sz w:val="22"/>
                <w:szCs w:val="22"/>
              </w:rPr>
              <w:t>0</w:t>
            </w:r>
            <w:r>
              <w:rPr>
                <w:rFonts w:cs="Arial"/>
                <w:sz w:val="22"/>
                <w:szCs w:val="22"/>
              </w:rPr>
              <w:t>.</w:t>
            </w:r>
            <w:r w:rsidRPr="0043572A">
              <w:rPr>
                <w:rFonts w:cs="Arial"/>
                <w:sz w:val="22"/>
                <w:szCs w:val="22"/>
              </w:rPr>
              <w:t>43</w:t>
            </w:r>
            <w:r w:rsidRPr="00FD4A39">
              <w:rPr>
                <w:rFonts w:cs="Arial"/>
                <w:sz w:val="22"/>
                <w:szCs w:val="22"/>
              </w:rPr>
              <w:t>)</w:t>
            </w:r>
          </w:p>
        </w:tc>
      </w:tr>
    </w:tbl>
    <w:p w:rsidR="007124F0" w:rsidRPr="00E94F44" w:rsidRDefault="007124F0" w:rsidP="007124F0">
      <w:pPr>
        <w:jc w:val="both"/>
        <w:rPr>
          <w:sz w:val="18"/>
          <w:szCs w:val="18"/>
        </w:rPr>
      </w:pPr>
      <w:r w:rsidRPr="00E94F44">
        <w:rPr>
          <w:sz w:val="18"/>
          <w:szCs w:val="18"/>
        </w:rPr>
        <w:t xml:space="preserve">Note: ***, ** and * indicate statistical significance at the 1%, 5% and 10% (two-tail) test levels, respectively. </w:t>
      </w:r>
    </w:p>
    <w:p w:rsidR="007124F0" w:rsidRPr="00FD4A39" w:rsidRDefault="007124F0" w:rsidP="007124F0">
      <w:pPr>
        <w:jc w:val="both"/>
        <w:rPr>
          <w:sz w:val="22"/>
          <w:szCs w:val="22"/>
        </w:rPr>
      </w:pPr>
    </w:p>
    <w:p w:rsidR="007124F0" w:rsidRPr="007A3F94" w:rsidRDefault="007124F0" w:rsidP="007124F0">
      <w:r w:rsidRPr="00FD4A39">
        <w:rPr>
          <w:sz w:val="22"/>
          <w:szCs w:val="22"/>
        </w:rPr>
        <w:br w:type="page"/>
      </w:r>
      <w:r w:rsidRPr="007A3F94">
        <w:lastRenderedPageBreak/>
        <w:t>Table 11 –</w:t>
      </w:r>
      <w:r w:rsidR="00406E37">
        <w:t xml:space="preserve"> </w:t>
      </w:r>
      <w:r w:rsidRPr="007A3F94">
        <w:t>Future Equity Issuance: Treated and Control Firms</w:t>
      </w:r>
    </w:p>
    <w:p w:rsidR="007124F0" w:rsidRPr="00E04980" w:rsidRDefault="007124F0" w:rsidP="007124F0"/>
    <w:p w:rsidR="007124F0" w:rsidRPr="00FD4A39" w:rsidRDefault="007124F0" w:rsidP="007124F0">
      <w:pPr>
        <w:jc w:val="both"/>
        <w:rPr>
          <w:sz w:val="22"/>
          <w:szCs w:val="22"/>
        </w:rPr>
      </w:pPr>
      <w:r w:rsidRPr="00FD4A39">
        <w:rPr>
          <w:sz w:val="22"/>
          <w:szCs w:val="22"/>
        </w:rPr>
        <w:t xml:space="preserve">This table reports average </w:t>
      </w:r>
      <w:r w:rsidRPr="00E04980">
        <w:rPr>
          <w:sz w:val="22"/>
          <w:szCs w:val="22"/>
        </w:rPr>
        <w:t>new equity financing for investment</w:t>
      </w:r>
      <w:r>
        <w:rPr>
          <w:sz w:val="22"/>
          <w:szCs w:val="22"/>
        </w:rPr>
        <w:t>s</w:t>
      </w:r>
      <w:r w:rsidRPr="00E04980">
        <w:rPr>
          <w:sz w:val="22"/>
          <w:szCs w:val="22"/>
        </w:rPr>
        <w:t xml:space="preserve"> </w:t>
      </w:r>
      <w:r w:rsidRPr="00FD4A39">
        <w:rPr>
          <w:sz w:val="22"/>
          <w:szCs w:val="22"/>
        </w:rPr>
        <w:t xml:space="preserve">(in percentage points) measured 12, 24 and 36 months after the </w:t>
      </w:r>
      <w:r>
        <w:rPr>
          <w:sz w:val="22"/>
          <w:szCs w:val="22"/>
        </w:rPr>
        <w:t>reference</w:t>
      </w:r>
      <w:r w:rsidRPr="00FD4A39">
        <w:rPr>
          <w:sz w:val="22"/>
          <w:szCs w:val="22"/>
        </w:rPr>
        <w:t xml:space="preserve"> period for treated and control </w:t>
      </w:r>
      <w:r>
        <w:rPr>
          <w:sz w:val="22"/>
          <w:szCs w:val="22"/>
        </w:rPr>
        <w:t>firms</w:t>
      </w:r>
      <w:r w:rsidRPr="00FD4A39">
        <w:rPr>
          <w:sz w:val="22"/>
          <w:szCs w:val="22"/>
        </w:rPr>
        <w:t xml:space="preserve">. </w:t>
      </w:r>
      <w:r>
        <w:rPr>
          <w:sz w:val="22"/>
          <w:szCs w:val="22"/>
        </w:rPr>
        <w:t xml:space="preserve">The table also reports difference in average new equity financing for the two groups of treated and control firms. </w:t>
      </w:r>
      <w:r w:rsidRPr="00FD4A39">
        <w:rPr>
          <w:sz w:val="22"/>
          <w:szCs w:val="22"/>
        </w:rPr>
        <w:t xml:space="preserve">In Panel A, the treated (control) </w:t>
      </w:r>
      <w:r>
        <w:rPr>
          <w:sz w:val="22"/>
          <w:szCs w:val="22"/>
        </w:rPr>
        <w:t>firms</w:t>
      </w:r>
      <w:r w:rsidRPr="00FD4A39">
        <w:rPr>
          <w:sz w:val="22"/>
          <w:szCs w:val="22"/>
        </w:rPr>
        <w:t xml:space="preserve"> are those with </w:t>
      </w:r>
      <w:r w:rsidRPr="00FD4A39">
        <w:rPr>
          <w:i/>
          <w:sz w:val="22"/>
          <w:szCs w:val="22"/>
        </w:rPr>
        <w:t>SecuredMarketLeverage</w:t>
      </w:r>
      <w:r w:rsidRPr="00FD4A39">
        <w:rPr>
          <w:sz w:val="22"/>
          <w:szCs w:val="22"/>
        </w:rPr>
        <w:t xml:space="preserve"> above (below) the sample median. In Panel B, the treated (control) </w:t>
      </w:r>
      <w:r>
        <w:rPr>
          <w:sz w:val="22"/>
          <w:szCs w:val="22"/>
        </w:rPr>
        <w:t>firms</w:t>
      </w:r>
      <w:r w:rsidRPr="00FD4A39">
        <w:rPr>
          <w:sz w:val="22"/>
          <w:szCs w:val="22"/>
        </w:rPr>
        <w:t xml:space="preserve"> are those with </w:t>
      </w:r>
      <w:r w:rsidRPr="00FD4A39">
        <w:rPr>
          <w:i/>
          <w:sz w:val="22"/>
          <w:szCs w:val="22"/>
        </w:rPr>
        <w:t>SecuredBookLeverage</w:t>
      </w:r>
      <w:r w:rsidRPr="00FD4A39">
        <w:rPr>
          <w:sz w:val="22"/>
          <w:szCs w:val="22"/>
        </w:rPr>
        <w:t xml:space="preserve"> above (below) the sample median. Each treated </w:t>
      </w:r>
      <w:r>
        <w:rPr>
          <w:sz w:val="22"/>
          <w:szCs w:val="22"/>
        </w:rPr>
        <w:t>firm</w:t>
      </w:r>
      <w:r w:rsidRPr="00FD4A39">
        <w:rPr>
          <w:sz w:val="22"/>
          <w:szCs w:val="22"/>
        </w:rPr>
        <w:t xml:space="preserve"> is matched with </w:t>
      </w:r>
      <w:r>
        <w:rPr>
          <w:sz w:val="22"/>
          <w:szCs w:val="22"/>
        </w:rPr>
        <w:t>two</w:t>
      </w:r>
      <w:r w:rsidRPr="00FD4A39">
        <w:rPr>
          <w:sz w:val="22"/>
          <w:szCs w:val="22"/>
        </w:rPr>
        <w:t xml:space="preserve"> control </w:t>
      </w:r>
      <w:r>
        <w:rPr>
          <w:sz w:val="22"/>
          <w:szCs w:val="22"/>
        </w:rPr>
        <w:t>firms</w:t>
      </w:r>
      <w:r w:rsidRPr="00FD4A39">
        <w:rPr>
          <w:sz w:val="22"/>
          <w:szCs w:val="22"/>
        </w:rPr>
        <w:t xml:space="preserve"> identified as the closest matches based on </w:t>
      </w:r>
      <w:r>
        <w:rPr>
          <w:i/>
          <w:sz w:val="22"/>
          <w:szCs w:val="22"/>
        </w:rPr>
        <w:t>q</w:t>
      </w:r>
      <w:r w:rsidRPr="00FD4A39">
        <w:rPr>
          <w:sz w:val="22"/>
          <w:szCs w:val="22"/>
        </w:rPr>
        <w:t>, size, profitab</w:t>
      </w:r>
      <w:r>
        <w:rPr>
          <w:sz w:val="22"/>
          <w:szCs w:val="22"/>
        </w:rPr>
        <w:t xml:space="preserve">ility, earnings volatility, </w:t>
      </w:r>
      <w:r w:rsidRPr="00FD4A39">
        <w:rPr>
          <w:sz w:val="22"/>
          <w:szCs w:val="22"/>
        </w:rPr>
        <w:t>age</w:t>
      </w:r>
      <w:r>
        <w:rPr>
          <w:sz w:val="22"/>
          <w:szCs w:val="22"/>
        </w:rPr>
        <w:t>, and industry segment</w:t>
      </w:r>
      <w:r w:rsidRPr="00FD4A39">
        <w:rPr>
          <w:sz w:val="22"/>
          <w:szCs w:val="22"/>
        </w:rPr>
        <w:t xml:space="preserve"> using the Abadia-Imbens matching estimator as well as a bias-corrected version of the same estimator. </w:t>
      </w:r>
      <w:r w:rsidRPr="00E04980">
        <w:rPr>
          <w:rFonts w:cs="Arial"/>
          <w:i/>
          <w:sz w:val="22"/>
          <w:szCs w:val="22"/>
        </w:rPr>
        <w:t>EquityFinancedInvestment</w:t>
      </w:r>
      <w:r w:rsidRPr="00E04980">
        <w:rPr>
          <w:rFonts w:cs="Arial"/>
          <w:b/>
          <w:i/>
          <w:sz w:val="22"/>
          <w:szCs w:val="22"/>
          <w:vertAlign w:val="subscript"/>
        </w:rPr>
        <w:t>t+12</w:t>
      </w:r>
      <w:r w:rsidRPr="00E04980">
        <w:rPr>
          <w:rFonts w:cs="Arial"/>
          <w:sz w:val="22"/>
          <w:szCs w:val="22"/>
        </w:rPr>
        <w:t xml:space="preserve"> is the ratio of change in equity – (SNL item #214 at </w:t>
      </w:r>
      <w:r w:rsidRPr="00E04980">
        <w:rPr>
          <w:rFonts w:cs="Arial"/>
          <w:i/>
          <w:sz w:val="22"/>
          <w:szCs w:val="22"/>
        </w:rPr>
        <w:t>t+12</w:t>
      </w:r>
      <w:r w:rsidRPr="00E04980">
        <w:rPr>
          <w:rFonts w:cs="Arial"/>
          <w:sz w:val="22"/>
          <w:szCs w:val="22"/>
        </w:rPr>
        <w:t xml:space="preserve"> – item #214 at </w:t>
      </w:r>
      <w:r w:rsidRPr="00E04980">
        <w:rPr>
          <w:rFonts w:cs="Arial"/>
          <w:i/>
          <w:sz w:val="22"/>
          <w:szCs w:val="22"/>
        </w:rPr>
        <w:t>t</w:t>
      </w:r>
      <w:r w:rsidRPr="00E04980">
        <w:rPr>
          <w:rFonts w:cs="Arial"/>
          <w:sz w:val="22"/>
          <w:szCs w:val="22"/>
        </w:rPr>
        <w:t>)</w:t>
      </w:r>
      <w:r w:rsidRPr="00E04980">
        <w:rPr>
          <w:rFonts w:cs="Arial"/>
          <w:sz w:val="22"/>
          <w:szCs w:val="22"/>
        </w:rPr>
        <w:sym w:font="Symbol" w:char="F0B4"/>
      </w:r>
      <w:r w:rsidRPr="00E04980">
        <w:rPr>
          <w:rFonts w:cs="Arial"/>
          <w:sz w:val="22"/>
          <w:szCs w:val="22"/>
        </w:rPr>
        <w:t xml:space="preserve">item #4412 – to change in real estate </w:t>
      </w:r>
      <w:r>
        <w:rPr>
          <w:rFonts w:cs="Arial"/>
          <w:sz w:val="22"/>
          <w:szCs w:val="22"/>
        </w:rPr>
        <w:t>assets</w:t>
      </w:r>
      <w:r w:rsidRPr="00E04980">
        <w:rPr>
          <w:rFonts w:cs="Arial"/>
          <w:sz w:val="22"/>
          <w:szCs w:val="22"/>
        </w:rPr>
        <w:t xml:space="preserve"> – (item #4338 at </w:t>
      </w:r>
      <w:r w:rsidRPr="00E04980">
        <w:rPr>
          <w:rFonts w:cs="Arial"/>
          <w:i/>
          <w:sz w:val="22"/>
          <w:szCs w:val="22"/>
        </w:rPr>
        <w:t>t+12</w:t>
      </w:r>
      <w:r w:rsidRPr="00E04980">
        <w:rPr>
          <w:rFonts w:cs="Arial"/>
          <w:sz w:val="22"/>
          <w:szCs w:val="22"/>
        </w:rPr>
        <w:t xml:space="preserve"> – item #4338 at </w:t>
      </w:r>
      <w:r w:rsidRPr="00E04980">
        <w:rPr>
          <w:rFonts w:cs="Arial"/>
          <w:i/>
          <w:sz w:val="22"/>
          <w:szCs w:val="22"/>
        </w:rPr>
        <w:t>t</w:t>
      </w:r>
      <w:r w:rsidRPr="00E04980">
        <w:rPr>
          <w:rFonts w:cs="Arial"/>
          <w:sz w:val="22"/>
          <w:szCs w:val="22"/>
        </w:rPr>
        <w:t xml:space="preserve">). </w:t>
      </w:r>
      <w:r>
        <w:rPr>
          <w:rFonts w:cs="Arial"/>
          <w:sz w:val="22"/>
          <w:szCs w:val="22"/>
        </w:rPr>
        <w:t xml:space="preserve">We use a similar definition for new equity financing measured 24 and 36 months after the matching period. </w:t>
      </w:r>
      <w:r>
        <w:rPr>
          <w:sz w:val="22"/>
          <w:szCs w:val="22"/>
        </w:rPr>
        <w:t xml:space="preserve">Refer to Table 4 for details on sample construction and variable definitions. </w:t>
      </w:r>
      <w:r w:rsidRPr="00FD4A39">
        <w:rPr>
          <w:sz w:val="22"/>
          <w:szCs w:val="22"/>
        </w:rPr>
        <w:t>Standard errors reported in parentheses are based on heteroskedastic consistent errors.</w:t>
      </w:r>
    </w:p>
    <w:p w:rsidR="007124F0" w:rsidRPr="00E04980" w:rsidRDefault="007124F0" w:rsidP="007124F0">
      <w:pPr>
        <w:jc w:val="both"/>
        <w:rPr>
          <w:sz w:val="22"/>
          <w:szCs w:val="22"/>
        </w:rPr>
      </w:pPr>
    </w:p>
    <w:tbl>
      <w:tblPr>
        <w:tblW w:w="9476" w:type="dxa"/>
        <w:tblLook w:val="0000"/>
      </w:tblPr>
      <w:tblGrid>
        <w:gridCol w:w="3368"/>
        <w:gridCol w:w="1125"/>
        <w:gridCol w:w="1424"/>
        <w:gridCol w:w="1739"/>
        <w:gridCol w:w="1820"/>
      </w:tblGrid>
      <w:tr w:rsidR="007124F0" w:rsidRPr="00E04980" w:rsidTr="007124F0">
        <w:trPr>
          <w:trHeight w:val="264"/>
        </w:trPr>
        <w:tc>
          <w:tcPr>
            <w:tcW w:w="3368" w:type="dxa"/>
            <w:tcBorders>
              <w:top w:val="double" w:sz="4" w:space="0" w:color="auto"/>
              <w:bottom w:val="single" w:sz="4" w:space="0" w:color="auto"/>
            </w:tcBorders>
            <w:noWrap/>
            <w:vAlign w:val="bottom"/>
          </w:tcPr>
          <w:p w:rsidR="007124F0" w:rsidRPr="00E04980" w:rsidRDefault="007124F0" w:rsidP="007124F0">
            <w:pPr>
              <w:rPr>
                <w:rFonts w:cs="Arial"/>
                <w:b/>
                <w:sz w:val="22"/>
                <w:szCs w:val="22"/>
              </w:rPr>
            </w:pPr>
          </w:p>
          <w:p w:rsidR="007124F0" w:rsidRPr="00E04980" w:rsidRDefault="007124F0" w:rsidP="007124F0">
            <w:pPr>
              <w:rPr>
                <w:rFonts w:cs="Arial"/>
                <w:b/>
                <w:sz w:val="22"/>
                <w:szCs w:val="22"/>
              </w:rPr>
            </w:pPr>
            <w:r w:rsidRPr="00E04980">
              <w:rPr>
                <w:rFonts w:cs="Arial"/>
                <w:b/>
                <w:sz w:val="22"/>
                <w:szCs w:val="22"/>
              </w:rPr>
              <w:t xml:space="preserve">Panel A – Treatment: </w:t>
            </w:r>
            <w:r w:rsidRPr="00E04980">
              <w:rPr>
                <w:rFonts w:cs="Arial"/>
                <w:b/>
                <w:i/>
                <w:sz w:val="22"/>
                <w:szCs w:val="22"/>
              </w:rPr>
              <w:t>SecuredMarketLeverage</w:t>
            </w:r>
            <w:r w:rsidRPr="00E04980">
              <w:rPr>
                <w:rFonts w:cs="Arial"/>
                <w:b/>
                <w:sz w:val="22"/>
                <w:szCs w:val="22"/>
              </w:rPr>
              <w:t>&gt;Median</w:t>
            </w:r>
          </w:p>
          <w:p w:rsidR="007124F0" w:rsidRPr="00E04980" w:rsidRDefault="007124F0" w:rsidP="007124F0">
            <w:pPr>
              <w:rPr>
                <w:rFonts w:cs="Arial"/>
                <w:b/>
                <w:sz w:val="22"/>
                <w:szCs w:val="22"/>
              </w:rPr>
            </w:pPr>
          </w:p>
        </w:tc>
        <w:tc>
          <w:tcPr>
            <w:tcW w:w="1125" w:type="dxa"/>
            <w:tcBorders>
              <w:top w:val="double" w:sz="4" w:space="0" w:color="auto"/>
              <w:bottom w:val="single" w:sz="4" w:space="0" w:color="auto"/>
            </w:tcBorders>
            <w:noWrap/>
            <w:vAlign w:val="bottom"/>
          </w:tcPr>
          <w:p w:rsidR="007124F0" w:rsidRPr="00E04980" w:rsidRDefault="007124F0" w:rsidP="007124F0">
            <w:pPr>
              <w:jc w:val="center"/>
              <w:rPr>
                <w:rFonts w:cs="Arial"/>
                <w:sz w:val="22"/>
                <w:szCs w:val="22"/>
              </w:rPr>
            </w:pPr>
            <w:r w:rsidRPr="00E04980">
              <w:rPr>
                <w:rFonts w:cs="Arial"/>
                <w:sz w:val="22"/>
                <w:szCs w:val="22"/>
              </w:rPr>
              <w:t xml:space="preserve">Treated </w:t>
            </w:r>
            <w:r>
              <w:rPr>
                <w:rFonts w:cs="Arial"/>
                <w:sz w:val="22"/>
                <w:szCs w:val="22"/>
              </w:rPr>
              <w:t>Firm</w:t>
            </w:r>
          </w:p>
          <w:p w:rsidR="007124F0" w:rsidRPr="00E04980" w:rsidRDefault="007124F0" w:rsidP="007124F0">
            <w:pPr>
              <w:jc w:val="center"/>
              <w:rPr>
                <w:rFonts w:cs="Arial"/>
                <w:sz w:val="22"/>
                <w:szCs w:val="22"/>
              </w:rPr>
            </w:pPr>
          </w:p>
        </w:tc>
        <w:tc>
          <w:tcPr>
            <w:tcW w:w="1424" w:type="dxa"/>
            <w:tcBorders>
              <w:top w:val="double" w:sz="4" w:space="0" w:color="auto"/>
              <w:bottom w:val="single" w:sz="4" w:space="0" w:color="auto"/>
            </w:tcBorders>
            <w:noWrap/>
            <w:vAlign w:val="bottom"/>
          </w:tcPr>
          <w:p w:rsidR="007124F0" w:rsidRDefault="007124F0" w:rsidP="007124F0">
            <w:pPr>
              <w:jc w:val="center"/>
              <w:rPr>
                <w:rFonts w:cs="Arial"/>
                <w:sz w:val="22"/>
                <w:szCs w:val="22"/>
              </w:rPr>
            </w:pPr>
            <w:r w:rsidRPr="00E04980">
              <w:rPr>
                <w:rFonts w:cs="Arial"/>
                <w:sz w:val="22"/>
                <w:szCs w:val="22"/>
              </w:rPr>
              <w:t xml:space="preserve">Control </w:t>
            </w:r>
          </w:p>
          <w:p w:rsidR="007124F0" w:rsidRPr="00E04980" w:rsidRDefault="007124F0" w:rsidP="007124F0">
            <w:pPr>
              <w:jc w:val="center"/>
              <w:rPr>
                <w:rFonts w:cs="Arial"/>
                <w:sz w:val="22"/>
                <w:szCs w:val="22"/>
              </w:rPr>
            </w:pPr>
            <w:r>
              <w:rPr>
                <w:rFonts w:cs="Arial"/>
                <w:sz w:val="22"/>
                <w:szCs w:val="22"/>
              </w:rPr>
              <w:t>Firm</w:t>
            </w:r>
          </w:p>
          <w:p w:rsidR="007124F0" w:rsidRPr="00E04980" w:rsidRDefault="007124F0" w:rsidP="007124F0">
            <w:pPr>
              <w:jc w:val="center"/>
              <w:rPr>
                <w:rFonts w:cs="Arial"/>
                <w:sz w:val="22"/>
                <w:szCs w:val="22"/>
              </w:rPr>
            </w:pPr>
          </w:p>
        </w:tc>
        <w:tc>
          <w:tcPr>
            <w:tcW w:w="1739" w:type="dxa"/>
            <w:tcBorders>
              <w:top w:val="double" w:sz="4" w:space="0" w:color="auto"/>
              <w:bottom w:val="single" w:sz="4" w:space="0" w:color="auto"/>
            </w:tcBorders>
            <w:noWrap/>
            <w:vAlign w:val="bottom"/>
          </w:tcPr>
          <w:p w:rsidR="007124F0" w:rsidRPr="00E04980" w:rsidRDefault="007124F0" w:rsidP="007124F0">
            <w:pPr>
              <w:jc w:val="center"/>
              <w:rPr>
                <w:rFonts w:cs="Arial"/>
                <w:sz w:val="22"/>
                <w:szCs w:val="22"/>
              </w:rPr>
            </w:pPr>
            <w:r w:rsidRPr="00E04980">
              <w:rPr>
                <w:rFonts w:cs="Arial"/>
                <w:sz w:val="22"/>
                <w:szCs w:val="22"/>
              </w:rPr>
              <w:t>Difference</w:t>
            </w:r>
          </w:p>
          <w:p w:rsidR="007124F0" w:rsidRPr="00E04980" w:rsidRDefault="007124F0" w:rsidP="007124F0">
            <w:pPr>
              <w:jc w:val="center"/>
              <w:rPr>
                <w:rFonts w:cs="Arial"/>
                <w:sz w:val="22"/>
                <w:szCs w:val="22"/>
              </w:rPr>
            </w:pPr>
          </w:p>
          <w:p w:rsidR="007124F0" w:rsidRPr="00E04980" w:rsidRDefault="007124F0" w:rsidP="007124F0">
            <w:pPr>
              <w:jc w:val="center"/>
              <w:rPr>
                <w:rFonts w:cs="Arial"/>
                <w:sz w:val="22"/>
                <w:szCs w:val="22"/>
              </w:rPr>
            </w:pPr>
          </w:p>
        </w:tc>
        <w:tc>
          <w:tcPr>
            <w:tcW w:w="1820" w:type="dxa"/>
            <w:tcBorders>
              <w:top w:val="double" w:sz="4" w:space="0" w:color="auto"/>
              <w:bottom w:val="single" w:sz="4" w:space="0" w:color="auto"/>
            </w:tcBorders>
            <w:noWrap/>
            <w:vAlign w:val="bottom"/>
          </w:tcPr>
          <w:p w:rsidR="007124F0" w:rsidRPr="00E04980" w:rsidRDefault="007124F0" w:rsidP="007124F0">
            <w:pPr>
              <w:jc w:val="center"/>
              <w:rPr>
                <w:rFonts w:cs="Arial"/>
                <w:sz w:val="22"/>
                <w:szCs w:val="22"/>
              </w:rPr>
            </w:pPr>
            <w:r w:rsidRPr="00E04980">
              <w:rPr>
                <w:rFonts w:cs="Arial"/>
                <w:sz w:val="22"/>
                <w:szCs w:val="22"/>
              </w:rPr>
              <w:t>Difference</w:t>
            </w:r>
          </w:p>
          <w:p w:rsidR="007124F0" w:rsidRPr="00E04980" w:rsidRDefault="007124F0" w:rsidP="007124F0">
            <w:pPr>
              <w:jc w:val="center"/>
              <w:rPr>
                <w:rFonts w:cs="Arial"/>
                <w:sz w:val="22"/>
                <w:szCs w:val="22"/>
              </w:rPr>
            </w:pPr>
            <w:r w:rsidRPr="00E04980">
              <w:rPr>
                <w:rFonts w:cs="Arial"/>
                <w:sz w:val="22"/>
                <w:szCs w:val="22"/>
              </w:rPr>
              <w:t>(Bias-Corrected)</w:t>
            </w:r>
          </w:p>
          <w:p w:rsidR="007124F0" w:rsidRPr="00E04980" w:rsidRDefault="007124F0" w:rsidP="007124F0">
            <w:pPr>
              <w:jc w:val="center"/>
              <w:rPr>
                <w:rFonts w:cs="Arial"/>
                <w:sz w:val="22"/>
                <w:szCs w:val="22"/>
              </w:rPr>
            </w:pPr>
          </w:p>
        </w:tc>
      </w:tr>
      <w:tr w:rsidR="007124F0" w:rsidRPr="00E04980" w:rsidTr="007124F0">
        <w:trPr>
          <w:trHeight w:val="264"/>
        </w:trPr>
        <w:tc>
          <w:tcPr>
            <w:tcW w:w="3368" w:type="dxa"/>
            <w:tcBorders>
              <w:top w:val="single" w:sz="4" w:space="0" w:color="auto"/>
            </w:tcBorders>
            <w:noWrap/>
            <w:vAlign w:val="bottom"/>
          </w:tcPr>
          <w:p w:rsidR="007124F0" w:rsidRPr="00E04980" w:rsidRDefault="007124F0" w:rsidP="007124F0">
            <w:pPr>
              <w:rPr>
                <w:rFonts w:cs="Arial"/>
                <w:i/>
                <w:sz w:val="22"/>
                <w:szCs w:val="22"/>
              </w:rPr>
            </w:pPr>
            <w:r w:rsidRPr="00E04980">
              <w:rPr>
                <w:rFonts w:cs="Arial"/>
                <w:i/>
                <w:sz w:val="22"/>
                <w:szCs w:val="22"/>
              </w:rPr>
              <w:t>EquityFinancedInvestment</w:t>
            </w:r>
            <w:r w:rsidRPr="00E04980">
              <w:rPr>
                <w:rFonts w:cs="Arial"/>
                <w:b/>
                <w:i/>
                <w:sz w:val="22"/>
                <w:szCs w:val="22"/>
                <w:vertAlign w:val="subscript"/>
              </w:rPr>
              <w:t>t+12</w:t>
            </w:r>
          </w:p>
        </w:tc>
        <w:tc>
          <w:tcPr>
            <w:tcW w:w="1125" w:type="dxa"/>
            <w:tcBorders>
              <w:top w:val="single" w:sz="4" w:space="0" w:color="auto"/>
            </w:tcBorders>
            <w:noWrap/>
            <w:vAlign w:val="bottom"/>
          </w:tcPr>
          <w:p w:rsidR="007124F0" w:rsidRPr="00451CC1" w:rsidRDefault="007124F0" w:rsidP="007124F0">
            <w:pPr>
              <w:jc w:val="center"/>
              <w:rPr>
                <w:rFonts w:cs="Arial"/>
                <w:sz w:val="22"/>
                <w:szCs w:val="22"/>
              </w:rPr>
            </w:pPr>
            <w:r w:rsidRPr="00451CC1">
              <w:rPr>
                <w:rFonts w:cs="Arial"/>
                <w:sz w:val="22"/>
                <w:szCs w:val="22"/>
              </w:rPr>
              <w:t>30</w:t>
            </w:r>
            <w:r>
              <w:rPr>
                <w:rFonts w:cs="Arial"/>
                <w:sz w:val="22"/>
                <w:szCs w:val="22"/>
              </w:rPr>
              <w:t>.</w:t>
            </w:r>
            <w:r w:rsidRPr="00451CC1">
              <w:rPr>
                <w:rFonts w:cs="Arial"/>
                <w:sz w:val="22"/>
                <w:szCs w:val="22"/>
              </w:rPr>
              <w:t>1</w:t>
            </w:r>
            <w:r>
              <w:rPr>
                <w:rFonts w:cs="Arial"/>
                <w:sz w:val="22"/>
                <w:szCs w:val="22"/>
              </w:rPr>
              <w:t>8</w:t>
            </w:r>
          </w:p>
        </w:tc>
        <w:tc>
          <w:tcPr>
            <w:tcW w:w="1424" w:type="dxa"/>
            <w:tcBorders>
              <w:top w:val="single" w:sz="4" w:space="0" w:color="auto"/>
            </w:tcBorders>
            <w:noWrap/>
            <w:vAlign w:val="bottom"/>
          </w:tcPr>
          <w:p w:rsidR="007124F0" w:rsidRPr="00451CC1" w:rsidRDefault="007124F0" w:rsidP="007124F0">
            <w:pPr>
              <w:jc w:val="center"/>
              <w:rPr>
                <w:rFonts w:cs="Arial"/>
                <w:sz w:val="22"/>
                <w:szCs w:val="22"/>
              </w:rPr>
            </w:pPr>
            <w:r w:rsidRPr="00451CC1">
              <w:rPr>
                <w:rFonts w:cs="Arial"/>
                <w:sz w:val="22"/>
                <w:szCs w:val="22"/>
              </w:rPr>
              <w:t>34</w:t>
            </w:r>
            <w:r>
              <w:rPr>
                <w:rFonts w:cs="Arial"/>
                <w:sz w:val="22"/>
                <w:szCs w:val="22"/>
              </w:rPr>
              <w:t>.</w:t>
            </w:r>
            <w:r w:rsidRPr="00451CC1">
              <w:rPr>
                <w:rFonts w:cs="Arial"/>
                <w:sz w:val="22"/>
                <w:szCs w:val="22"/>
              </w:rPr>
              <w:t>7</w:t>
            </w:r>
            <w:r>
              <w:rPr>
                <w:rFonts w:cs="Arial"/>
                <w:sz w:val="22"/>
                <w:szCs w:val="22"/>
              </w:rPr>
              <w:t>5</w:t>
            </w:r>
          </w:p>
        </w:tc>
        <w:tc>
          <w:tcPr>
            <w:tcW w:w="1739" w:type="dxa"/>
            <w:tcBorders>
              <w:top w:val="single" w:sz="4" w:space="0" w:color="auto"/>
            </w:tcBorders>
            <w:noWrap/>
            <w:vAlign w:val="bottom"/>
          </w:tcPr>
          <w:p w:rsidR="007124F0" w:rsidRPr="00E04980" w:rsidRDefault="007124F0" w:rsidP="007124F0">
            <w:pPr>
              <w:jc w:val="center"/>
              <w:rPr>
                <w:rFonts w:cs="Arial"/>
                <w:sz w:val="22"/>
                <w:szCs w:val="22"/>
              </w:rPr>
            </w:pPr>
            <w:r w:rsidRPr="00BB7F19">
              <w:rPr>
                <w:rFonts w:cs="Arial"/>
                <w:sz w:val="22"/>
                <w:szCs w:val="22"/>
              </w:rPr>
              <w:t>-4</w:t>
            </w:r>
            <w:r>
              <w:rPr>
                <w:rFonts w:cs="Arial"/>
                <w:sz w:val="22"/>
                <w:szCs w:val="22"/>
              </w:rPr>
              <w:t>.</w:t>
            </w:r>
            <w:r w:rsidRPr="00BB7F19">
              <w:rPr>
                <w:rFonts w:cs="Arial"/>
                <w:sz w:val="22"/>
                <w:szCs w:val="22"/>
              </w:rPr>
              <w:t>5</w:t>
            </w:r>
            <w:r>
              <w:rPr>
                <w:rFonts w:cs="Arial"/>
                <w:sz w:val="22"/>
                <w:szCs w:val="22"/>
              </w:rPr>
              <w:t>7</w:t>
            </w:r>
            <w:r w:rsidRPr="00E04980">
              <w:rPr>
                <w:rFonts w:cs="Arial"/>
                <w:sz w:val="22"/>
                <w:szCs w:val="22"/>
              </w:rPr>
              <w:t>*</w:t>
            </w:r>
          </w:p>
        </w:tc>
        <w:tc>
          <w:tcPr>
            <w:tcW w:w="1820" w:type="dxa"/>
            <w:tcBorders>
              <w:top w:val="single" w:sz="4" w:space="0" w:color="auto"/>
            </w:tcBorders>
            <w:noWrap/>
            <w:vAlign w:val="bottom"/>
          </w:tcPr>
          <w:p w:rsidR="007124F0" w:rsidRPr="00BB7F19" w:rsidRDefault="007124F0" w:rsidP="007124F0">
            <w:pPr>
              <w:jc w:val="center"/>
              <w:rPr>
                <w:rFonts w:cs="Arial"/>
                <w:sz w:val="22"/>
                <w:szCs w:val="22"/>
              </w:rPr>
            </w:pPr>
            <w:r w:rsidRPr="00BB7F19">
              <w:rPr>
                <w:rFonts w:cs="Arial"/>
                <w:sz w:val="22"/>
                <w:szCs w:val="22"/>
              </w:rPr>
              <w:t>-4</w:t>
            </w:r>
            <w:r>
              <w:rPr>
                <w:rFonts w:cs="Arial"/>
                <w:sz w:val="22"/>
                <w:szCs w:val="22"/>
              </w:rPr>
              <w:t>.</w:t>
            </w:r>
            <w:r w:rsidRPr="00BB7F19">
              <w:rPr>
                <w:rFonts w:cs="Arial"/>
                <w:sz w:val="22"/>
                <w:szCs w:val="22"/>
              </w:rPr>
              <w:t>19</w:t>
            </w:r>
          </w:p>
        </w:tc>
      </w:tr>
      <w:tr w:rsidR="007124F0" w:rsidRPr="00E04980" w:rsidTr="007124F0">
        <w:trPr>
          <w:trHeight w:val="264"/>
        </w:trPr>
        <w:tc>
          <w:tcPr>
            <w:tcW w:w="3368" w:type="dxa"/>
            <w:noWrap/>
          </w:tcPr>
          <w:p w:rsidR="007124F0" w:rsidRPr="00E04980" w:rsidRDefault="007124F0" w:rsidP="007124F0">
            <w:pPr>
              <w:jc w:val="center"/>
              <w:rPr>
                <w:rFonts w:cs="Arial"/>
                <w:i/>
                <w:sz w:val="22"/>
                <w:szCs w:val="22"/>
              </w:rPr>
            </w:pPr>
          </w:p>
        </w:tc>
        <w:tc>
          <w:tcPr>
            <w:tcW w:w="1125" w:type="dxa"/>
            <w:noWrap/>
          </w:tcPr>
          <w:p w:rsidR="007124F0" w:rsidRPr="00E04980" w:rsidRDefault="007124F0" w:rsidP="007124F0">
            <w:pPr>
              <w:jc w:val="center"/>
              <w:rPr>
                <w:rFonts w:cs="Arial"/>
                <w:sz w:val="22"/>
                <w:szCs w:val="22"/>
              </w:rPr>
            </w:pPr>
          </w:p>
        </w:tc>
        <w:tc>
          <w:tcPr>
            <w:tcW w:w="1424" w:type="dxa"/>
            <w:noWrap/>
          </w:tcPr>
          <w:p w:rsidR="007124F0" w:rsidRPr="00E04980" w:rsidRDefault="007124F0" w:rsidP="007124F0">
            <w:pPr>
              <w:jc w:val="center"/>
              <w:rPr>
                <w:rFonts w:cs="Arial"/>
                <w:sz w:val="22"/>
                <w:szCs w:val="22"/>
              </w:rPr>
            </w:pPr>
          </w:p>
        </w:tc>
        <w:tc>
          <w:tcPr>
            <w:tcW w:w="1739"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6</w:t>
            </w:r>
            <w:r>
              <w:rPr>
                <w:rFonts w:cs="Arial"/>
                <w:sz w:val="22"/>
                <w:szCs w:val="22"/>
              </w:rPr>
              <w:t>2</w:t>
            </w:r>
            <w:r w:rsidRPr="00E04980">
              <w:rPr>
                <w:rFonts w:cs="Arial"/>
                <w:sz w:val="22"/>
                <w:szCs w:val="22"/>
              </w:rPr>
              <w:t>)</w:t>
            </w:r>
          </w:p>
        </w:tc>
        <w:tc>
          <w:tcPr>
            <w:tcW w:w="1820"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6</w:t>
            </w:r>
            <w:r>
              <w:rPr>
                <w:rFonts w:cs="Arial"/>
                <w:sz w:val="22"/>
                <w:szCs w:val="22"/>
              </w:rPr>
              <w:t>2</w:t>
            </w:r>
            <w:r w:rsidRPr="00E04980">
              <w:rPr>
                <w:rFonts w:cs="Arial"/>
                <w:sz w:val="22"/>
                <w:szCs w:val="22"/>
              </w:rPr>
              <w:t>)</w:t>
            </w:r>
          </w:p>
        </w:tc>
      </w:tr>
      <w:tr w:rsidR="007124F0" w:rsidRPr="00E04980" w:rsidTr="007124F0">
        <w:trPr>
          <w:trHeight w:val="264"/>
        </w:trPr>
        <w:tc>
          <w:tcPr>
            <w:tcW w:w="3368" w:type="dxa"/>
            <w:noWrap/>
            <w:vAlign w:val="bottom"/>
          </w:tcPr>
          <w:p w:rsidR="007124F0" w:rsidRPr="00E04980" w:rsidRDefault="007124F0" w:rsidP="007124F0">
            <w:pPr>
              <w:rPr>
                <w:rFonts w:cs="Arial"/>
                <w:i/>
                <w:sz w:val="22"/>
                <w:szCs w:val="22"/>
              </w:rPr>
            </w:pPr>
            <w:r w:rsidRPr="00E04980">
              <w:rPr>
                <w:rFonts w:cs="Arial"/>
                <w:i/>
                <w:sz w:val="22"/>
                <w:szCs w:val="22"/>
              </w:rPr>
              <w:t>EquityFinancedInvestment</w:t>
            </w:r>
            <w:r w:rsidRPr="00E04980">
              <w:rPr>
                <w:rFonts w:cs="Arial"/>
                <w:b/>
                <w:i/>
                <w:sz w:val="22"/>
                <w:szCs w:val="22"/>
                <w:vertAlign w:val="subscript"/>
              </w:rPr>
              <w:t>t+24</w:t>
            </w:r>
          </w:p>
        </w:tc>
        <w:tc>
          <w:tcPr>
            <w:tcW w:w="1125" w:type="dxa"/>
            <w:noWrap/>
            <w:vAlign w:val="bottom"/>
          </w:tcPr>
          <w:p w:rsidR="007124F0" w:rsidRPr="00BB7F19" w:rsidRDefault="007124F0" w:rsidP="007124F0">
            <w:pPr>
              <w:jc w:val="center"/>
              <w:rPr>
                <w:rFonts w:cs="Arial"/>
                <w:sz w:val="22"/>
                <w:szCs w:val="22"/>
              </w:rPr>
            </w:pPr>
            <w:r w:rsidRPr="00BB7F19">
              <w:rPr>
                <w:rFonts w:cs="Arial"/>
                <w:sz w:val="22"/>
                <w:szCs w:val="22"/>
              </w:rPr>
              <w:t>36</w:t>
            </w:r>
            <w:r>
              <w:rPr>
                <w:rFonts w:cs="Arial"/>
                <w:sz w:val="22"/>
                <w:szCs w:val="22"/>
              </w:rPr>
              <w:t>.</w:t>
            </w:r>
            <w:r w:rsidRPr="00BB7F19">
              <w:rPr>
                <w:rFonts w:cs="Arial"/>
                <w:sz w:val="22"/>
                <w:szCs w:val="22"/>
              </w:rPr>
              <w:t>11</w:t>
            </w:r>
          </w:p>
        </w:tc>
        <w:tc>
          <w:tcPr>
            <w:tcW w:w="1424" w:type="dxa"/>
            <w:noWrap/>
            <w:vAlign w:val="bottom"/>
          </w:tcPr>
          <w:p w:rsidR="007124F0" w:rsidRPr="00BB7F19" w:rsidRDefault="007124F0" w:rsidP="007124F0">
            <w:pPr>
              <w:jc w:val="center"/>
              <w:rPr>
                <w:rFonts w:cs="Arial"/>
                <w:sz w:val="22"/>
                <w:szCs w:val="22"/>
              </w:rPr>
            </w:pPr>
            <w:r w:rsidRPr="00BB7F19">
              <w:rPr>
                <w:rFonts w:cs="Arial"/>
                <w:sz w:val="22"/>
                <w:szCs w:val="22"/>
              </w:rPr>
              <w:t>42</w:t>
            </w:r>
            <w:r>
              <w:rPr>
                <w:rFonts w:cs="Arial"/>
                <w:sz w:val="22"/>
                <w:szCs w:val="22"/>
              </w:rPr>
              <w:t>.</w:t>
            </w:r>
            <w:r w:rsidRPr="00BB7F19">
              <w:rPr>
                <w:rFonts w:cs="Arial"/>
                <w:sz w:val="22"/>
                <w:szCs w:val="22"/>
              </w:rPr>
              <w:t>8</w:t>
            </w:r>
            <w:r>
              <w:rPr>
                <w:rFonts w:cs="Arial"/>
                <w:sz w:val="22"/>
                <w:szCs w:val="22"/>
              </w:rPr>
              <w:t>5</w:t>
            </w:r>
          </w:p>
        </w:tc>
        <w:tc>
          <w:tcPr>
            <w:tcW w:w="1739" w:type="dxa"/>
            <w:noWrap/>
            <w:vAlign w:val="bottom"/>
          </w:tcPr>
          <w:p w:rsidR="007124F0" w:rsidRPr="00E04980" w:rsidRDefault="007124F0" w:rsidP="007124F0">
            <w:pPr>
              <w:jc w:val="center"/>
              <w:rPr>
                <w:rFonts w:cs="Arial"/>
                <w:sz w:val="22"/>
                <w:szCs w:val="22"/>
              </w:rPr>
            </w:pPr>
            <w:r w:rsidRPr="00BB7F19">
              <w:rPr>
                <w:rFonts w:cs="Arial"/>
                <w:sz w:val="22"/>
                <w:szCs w:val="22"/>
              </w:rPr>
              <w:t>-6</w:t>
            </w:r>
            <w:r>
              <w:rPr>
                <w:rFonts w:cs="Arial"/>
                <w:sz w:val="22"/>
                <w:szCs w:val="22"/>
              </w:rPr>
              <w:t>.</w:t>
            </w:r>
            <w:r w:rsidRPr="00BB7F19">
              <w:rPr>
                <w:rFonts w:cs="Arial"/>
                <w:sz w:val="22"/>
                <w:szCs w:val="22"/>
              </w:rPr>
              <w:t>7</w:t>
            </w:r>
            <w:r>
              <w:rPr>
                <w:rFonts w:cs="Arial"/>
                <w:sz w:val="22"/>
                <w:szCs w:val="22"/>
              </w:rPr>
              <w:t>4</w:t>
            </w:r>
            <w:r w:rsidRPr="00E04980">
              <w:rPr>
                <w:rFonts w:cs="Arial"/>
                <w:sz w:val="22"/>
                <w:szCs w:val="22"/>
              </w:rPr>
              <w:t>***</w:t>
            </w:r>
          </w:p>
        </w:tc>
        <w:tc>
          <w:tcPr>
            <w:tcW w:w="1820" w:type="dxa"/>
            <w:noWrap/>
            <w:vAlign w:val="bottom"/>
          </w:tcPr>
          <w:p w:rsidR="007124F0" w:rsidRPr="00E04980" w:rsidRDefault="007124F0" w:rsidP="007124F0">
            <w:pPr>
              <w:jc w:val="center"/>
              <w:rPr>
                <w:rFonts w:cs="Arial"/>
                <w:sz w:val="22"/>
                <w:szCs w:val="22"/>
              </w:rPr>
            </w:pPr>
            <w:r w:rsidRPr="00BB7F19">
              <w:rPr>
                <w:rFonts w:cs="Arial"/>
                <w:sz w:val="22"/>
                <w:szCs w:val="22"/>
              </w:rPr>
              <w:t>-7</w:t>
            </w:r>
            <w:r>
              <w:rPr>
                <w:rFonts w:cs="Arial"/>
                <w:sz w:val="22"/>
                <w:szCs w:val="22"/>
              </w:rPr>
              <w:t>.</w:t>
            </w:r>
            <w:r w:rsidRPr="00BB7F19">
              <w:rPr>
                <w:rFonts w:cs="Arial"/>
                <w:sz w:val="22"/>
                <w:szCs w:val="22"/>
              </w:rPr>
              <w:t>0</w:t>
            </w:r>
            <w:r>
              <w:rPr>
                <w:rFonts w:cs="Arial"/>
                <w:sz w:val="22"/>
                <w:szCs w:val="22"/>
              </w:rPr>
              <w:t>3</w:t>
            </w:r>
            <w:r w:rsidRPr="00E04980">
              <w:rPr>
                <w:rFonts w:cs="Arial"/>
                <w:sz w:val="22"/>
                <w:szCs w:val="22"/>
              </w:rPr>
              <w:t>***</w:t>
            </w:r>
          </w:p>
        </w:tc>
      </w:tr>
      <w:tr w:rsidR="007124F0" w:rsidRPr="00E04980" w:rsidTr="007124F0">
        <w:trPr>
          <w:trHeight w:val="264"/>
        </w:trPr>
        <w:tc>
          <w:tcPr>
            <w:tcW w:w="3368" w:type="dxa"/>
            <w:noWrap/>
          </w:tcPr>
          <w:p w:rsidR="007124F0" w:rsidRPr="00E04980" w:rsidRDefault="007124F0" w:rsidP="007124F0">
            <w:pPr>
              <w:jc w:val="center"/>
              <w:rPr>
                <w:rFonts w:cs="Arial"/>
                <w:i/>
                <w:sz w:val="22"/>
                <w:szCs w:val="22"/>
              </w:rPr>
            </w:pPr>
          </w:p>
        </w:tc>
        <w:tc>
          <w:tcPr>
            <w:tcW w:w="1125" w:type="dxa"/>
            <w:noWrap/>
          </w:tcPr>
          <w:p w:rsidR="007124F0" w:rsidRPr="00E04980" w:rsidRDefault="007124F0" w:rsidP="007124F0">
            <w:pPr>
              <w:jc w:val="center"/>
              <w:rPr>
                <w:rFonts w:cs="Arial"/>
                <w:sz w:val="22"/>
                <w:szCs w:val="22"/>
              </w:rPr>
            </w:pPr>
          </w:p>
        </w:tc>
        <w:tc>
          <w:tcPr>
            <w:tcW w:w="1424" w:type="dxa"/>
            <w:noWrap/>
          </w:tcPr>
          <w:p w:rsidR="007124F0" w:rsidRPr="00E04980" w:rsidRDefault="007124F0" w:rsidP="007124F0">
            <w:pPr>
              <w:jc w:val="center"/>
              <w:rPr>
                <w:rFonts w:cs="Arial"/>
                <w:sz w:val="22"/>
                <w:szCs w:val="22"/>
              </w:rPr>
            </w:pPr>
          </w:p>
        </w:tc>
        <w:tc>
          <w:tcPr>
            <w:tcW w:w="1739"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4</w:t>
            </w:r>
            <w:r>
              <w:rPr>
                <w:rFonts w:cs="Arial"/>
                <w:sz w:val="22"/>
                <w:szCs w:val="22"/>
              </w:rPr>
              <w:t>2</w:t>
            </w:r>
            <w:r w:rsidRPr="00E04980">
              <w:rPr>
                <w:rFonts w:cs="Arial"/>
                <w:sz w:val="22"/>
                <w:szCs w:val="22"/>
              </w:rPr>
              <w:t>)</w:t>
            </w:r>
          </w:p>
        </w:tc>
        <w:tc>
          <w:tcPr>
            <w:tcW w:w="1820"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4</w:t>
            </w:r>
            <w:r>
              <w:rPr>
                <w:rFonts w:cs="Arial"/>
                <w:sz w:val="22"/>
                <w:szCs w:val="22"/>
              </w:rPr>
              <w:t>2</w:t>
            </w:r>
            <w:r w:rsidRPr="00E04980">
              <w:rPr>
                <w:rFonts w:cs="Arial"/>
                <w:sz w:val="22"/>
                <w:szCs w:val="22"/>
              </w:rPr>
              <w:t>)</w:t>
            </w:r>
          </w:p>
        </w:tc>
      </w:tr>
      <w:tr w:rsidR="007124F0" w:rsidRPr="00E04980" w:rsidTr="007124F0">
        <w:trPr>
          <w:trHeight w:val="264"/>
        </w:trPr>
        <w:tc>
          <w:tcPr>
            <w:tcW w:w="3368" w:type="dxa"/>
            <w:noWrap/>
            <w:vAlign w:val="bottom"/>
          </w:tcPr>
          <w:p w:rsidR="007124F0" w:rsidRPr="00E04980" w:rsidRDefault="007124F0" w:rsidP="007124F0">
            <w:pPr>
              <w:rPr>
                <w:rFonts w:cs="Arial"/>
                <w:i/>
                <w:sz w:val="22"/>
                <w:szCs w:val="22"/>
              </w:rPr>
            </w:pPr>
            <w:r w:rsidRPr="00E04980">
              <w:rPr>
                <w:rFonts w:cs="Arial"/>
                <w:i/>
                <w:sz w:val="22"/>
                <w:szCs w:val="22"/>
              </w:rPr>
              <w:t>EquityFinancedInvestment</w:t>
            </w:r>
            <w:r w:rsidRPr="00E04980">
              <w:rPr>
                <w:rFonts w:cs="Arial"/>
                <w:b/>
                <w:i/>
                <w:sz w:val="22"/>
                <w:szCs w:val="22"/>
                <w:vertAlign w:val="subscript"/>
              </w:rPr>
              <w:t>t+36</w:t>
            </w:r>
          </w:p>
        </w:tc>
        <w:tc>
          <w:tcPr>
            <w:tcW w:w="1125" w:type="dxa"/>
            <w:noWrap/>
            <w:vAlign w:val="bottom"/>
          </w:tcPr>
          <w:p w:rsidR="007124F0" w:rsidRPr="00BB7F19" w:rsidRDefault="007124F0" w:rsidP="007124F0">
            <w:pPr>
              <w:jc w:val="center"/>
              <w:rPr>
                <w:rFonts w:cs="Arial"/>
                <w:sz w:val="22"/>
                <w:szCs w:val="22"/>
              </w:rPr>
            </w:pPr>
            <w:r w:rsidRPr="00BB7F19">
              <w:rPr>
                <w:rFonts w:cs="Arial"/>
                <w:sz w:val="22"/>
                <w:szCs w:val="22"/>
              </w:rPr>
              <w:t>38</w:t>
            </w:r>
            <w:r>
              <w:rPr>
                <w:rFonts w:cs="Arial"/>
                <w:sz w:val="22"/>
                <w:szCs w:val="22"/>
              </w:rPr>
              <w:t>.</w:t>
            </w:r>
            <w:r w:rsidRPr="00BB7F19">
              <w:rPr>
                <w:rFonts w:cs="Arial"/>
                <w:sz w:val="22"/>
                <w:szCs w:val="22"/>
              </w:rPr>
              <w:t>51</w:t>
            </w:r>
          </w:p>
        </w:tc>
        <w:tc>
          <w:tcPr>
            <w:tcW w:w="1424" w:type="dxa"/>
            <w:noWrap/>
            <w:vAlign w:val="bottom"/>
          </w:tcPr>
          <w:p w:rsidR="007124F0" w:rsidRPr="00BB7F19" w:rsidRDefault="007124F0" w:rsidP="007124F0">
            <w:pPr>
              <w:jc w:val="center"/>
              <w:rPr>
                <w:rFonts w:cs="Arial"/>
                <w:sz w:val="22"/>
                <w:szCs w:val="22"/>
              </w:rPr>
            </w:pPr>
            <w:r w:rsidRPr="00BB7F19">
              <w:rPr>
                <w:rFonts w:cs="Arial"/>
                <w:sz w:val="22"/>
                <w:szCs w:val="22"/>
              </w:rPr>
              <w:t>45</w:t>
            </w:r>
            <w:r>
              <w:rPr>
                <w:rFonts w:cs="Arial"/>
                <w:sz w:val="22"/>
                <w:szCs w:val="22"/>
              </w:rPr>
              <w:t>.</w:t>
            </w:r>
            <w:r w:rsidRPr="00BB7F19">
              <w:rPr>
                <w:rFonts w:cs="Arial"/>
                <w:sz w:val="22"/>
                <w:szCs w:val="22"/>
              </w:rPr>
              <w:t>51</w:t>
            </w:r>
          </w:p>
        </w:tc>
        <w:tc>
          <w:tcPr>
            <w:tcW w:w="1739" w:type="dxa"/>
            <w:noWrap/>
            <w:vAlign w:val="bottom"/>
          </w:tcPr>
          <w:p w:rsidR="007124F0" w:rsidRPr="00E04980" w:rsidRDefault="007124F0" w:rsidP="007124F0">
            <w:pPr>
              <w:jc w:val="center"/>
              <w:rPr>
                <w:rFonts w:cs="Arial"/>
                <w:sz w:val="22"/>
                <w:szCs w:val="22"/>
              </w:rPr>
            </w:pPr>
            <w:r w:rsidRPr="00BB7F19">
              <w:rPr>
                <w:rFonts w:cs="Arial"/>
                <w:sz w:val="22"/>
                <w:szCs w:val="22"/>
              </w:rPr>
              <w:t>-</w:t>
            </w:r>
            <w:r>
              <w:rPr>
                <w:rFonts w:cs="Arial"/>
                <w:sz w:val="22"/>
                <w:szCs w:val="22"/>
              </w:rPr>
              <w:t>7.00</w:t>
            </w:r>
            <w:r w:rsidRPr="00E04980">
              <w:rPr>
                <w:rFonts w:cs="Arial"/>
                <w:sz w:val="22"/>
                <w:szCs w:val="22"/>
              </w:rPr>
              <w:t>***</w:t>
            </w:r>
          </w:p>
        </w:tc>
        <w:tc>
          <w:tcPr>
            <w:tcW w:w="1820" w:type="dxa"/>
            <w:noWrap/>
            <w:vAlign w:val="bottom"/>
          </w:tcPr>
          <w:p w:rsidR="007124F0" w:rsidRPr="00E04980" w:rsidRDefault="007124F0" w:rsidP="007124F0">
            <w:pPr>
              <w:jc w:val="center"/>
              <w:rPr>
                <w:rFonts w:cs="Arial"/>
                <w:sz w:val="22"/>
                <w:szCs w:val="22"/>
              </w:rPr>
            </w:pPr>
            <w:r w:rsidRPr="00BB7F19">
              <w:rPr>
                <w:rFonts w:cs="Arial"/>
                <w:sz w:val="22"/>
                <w:szCs w:val="22"/>
              </w:rPr>
              <w:t>-7</w:t>
            </w:r>
            <w:r>
              <w:rPr>
                <w:rFonts w:cs="Arial"/>
                <w:sz w:val="22"/>
                <w:szCs w:val="22"/>
              </w:rPr>
              <w:t>.</w:t>
            </w:r>
            <w:r w:rsidRPr="00BB7F19">
              <w:rPr>
                <w:rFonts w:cs="Arial"/>
                <w:sz w:val="22"/>
                <w:szCs w:val="22"/>
              </w:rPr>
              <w:t>48</w:t>
            </w:r>
            <w:r w:rsidRPr="00E04980">
              <w:rPr>
                <w:rFonts w:cs="Arial"/>
                <w:sz w:val="22"/>
                <w:szCs w:val="22"/>
              </w:rPr>
              <w:t>***</w:t>
            </w:r>
          </w:p>
        </w:tc>
      </w:tr>
      <w:tr w:rsidR="007124F0" w:rsidRPr="00E04980" w:rsidTr="007124F0">
        <w:trPr>
          <w:trHeight w:val="264"/>
        </w:trPr>
        <w:tc>
          <w:tcPr>
            <w:tcW w:w="3368" w:type="dxa"/>
            <w:noWrap/>
          </w:tcPr>
          <w:p w:rsidR="007124F0" w:rsidRPr="00E04980" w:rsidRDefault="007124F0" w:rsidP="007124F0">
            <w:pPr>
              <w:jc w:val="center"/>
              <w:rPr>
                <w:rFonts w:cs="Arial"/>
                <w:sz w:val="22"/>
                <w:szCs w:val="22"/>
              </w:rPr>
            </w:pPr>
          </w:p>
        </w:tc>
        <w:tc>
          <w:tcPr>
            <w:tcW w:w="1125" w:type="dxa"/>
            <w:noWrap/>
          </w:tcPr>
          <w:p w:rsidR="007124F0" w:rsidRPr="00E04980" w:rsidRDefault="007124F0" w:rsidP="007124F0">
            <w:pPr>
              <w:jc w:val="center"/>
              <w:rPr>
                <w:rFonts w:cs="Arial"/>
                <w:sz w:val="22"/>
                <w:szCs w:val="22"/>
              </w:rPr>
            </w:pPr>
          </w:p>
        </w:tc>
        <w:tc>
          <w:tcPr>
            <w:tcW w:w="1424" w:type="dxa"/>
            <w:noWrap/>
          </w:tcPr>
          <w:p w:rsidR="007124F0" w:rsidRPr="00E04980" w:rsidRDefault="007124F0" w:rsidP="007124F0">
            <w:pPr>
              <w:jc w:val="center"/>
              <w:rPr>
                <w:rFonts w:cs="Arial"/>
                <w:sz w:val="22"/>
                <w:szCs w:val="22"/>
              </w:rPr>
            </w:pPr>
          </w:p>
        </w:tc>
        <w:tc>
          <w:tcPr>
            <w:tcW w:w="1739"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47</w:t>
            </w:r>
            <w:r w:rsidRPr="00E04980">
              <w:rPr>
                <w:rFonts w:cs="Arial"/>
                <w:sz w:val="22"/>
                <w:szCs w:val="22"/>
              </w:rPr>
              <w:t>)</w:t>
            </w:r>
          </w:p>
        </w:tc>
        <w:tc>
          <w:tcPr>
            <w:tcW w:w="1820"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47</w:t>
            </w:r>
            <w:r w:rsidRPr="00E04980">
              <w:rPr>
                <w:rFonts w:cs="Arial"/>
                <w:sz w:val="22"/>
                <w:szCs w:val="22"/>
              </w:rPr>
              <w:t>)</w:t>
            </w:r>
          </w:p>
        </w:tc>
      </w:tr>
      <w:tr w:rsidR="007124F0" w:rsidRPr="00E04980" w:rsidTr="007124F0">
        <w:trPr>
          <w:trHeight w:val="264"/>
        </w:trPr>
        <w:tc>
          <w:tcPr>
            <w:tcW w:w="3368" w:type="dxa"/>
            <w:noWrap/>
            <w:vAlign w:val="bottom"/>
          </w:tcPr>
          <w:p w:rsidR="007124F0" w:rsidRPr="00E04980" w:rsidRDefault="007124F0" w:rsidP="007124F0">
            <w:pPr>
              <w:rPr>
                <w:rFonts w:cs="Arial"/>
                <w:b/>
                <w:sz w:val="22"/>
                <w:szCs w:val="22"/>
              </w:rPr>
            </w:pPr>
          </w:p>
          <w:p w:rsidR="007124F0" w:rsidRPr="00E04980" w:rsidRDefault="007124F0" w:rsidP="007124F0">
            <w:pPr>
              <w:rPr>
                <w:rFonts w:cs="Arial"/>
                <w:b/>
                <w:sz w:val="22"/>
                <w:szCs w:val="22"/>
              </w:rPr>
            </w:pPr>
            <w:r w:rsidRPr="00E04980">
              <w:rPr>
                <w:rFonts w:cs="Arial"/>
                <w:b/>
                <w:sz w:val="22"/>
                <w:szCs w:val="22"/>
              </w:rPr>
              <w:t xml:space="preserve">Panel B – Treatment: </w:t>
            </w:r>
            <w:r w:rsidRPr="00E04980">
              <w:rPr>
                <w:rFonts w:cs="Arial"/>
                <w:b/>
                <w:i/>
                <w:sz w:val="22"/>
                <w:szCs w:val="22"/>
              </w:rPr>
              <w:t>SecuredBookLeverage</w:t>
            </w:r>
            <w:r w:rsidRPr="00E04980">
              <w:rPr>
                <w:rFonts w:cs="Arial"/>
                <w:b/>
                <w:sz w:val="22"/>
                <w:szCs w:val="22"/>
              </w:rPr>
              <w:t>&gt;Median</w:t>
            </w:r>
          </w:p>
          <w:p w:rsidR="007124F0" w:rsidRPr="00E04980" w:rsidRDefault="007124F0" w:rsidP="007124F0">
            <w:pPr>
              <w:rPr>
                <w:rFonts w:cs="Arial"/>
                <w:b/>
                <w:sz w:val="22"/>
                <w:szCs w:val="22"/>
              </w:rPr>
            </w:pPr>
          </w:p>
        </w:tc>
        <w:tc>
          <w:tcPr>
            <w:tcW w:w="1125" w:type="dxa"/>
            <w:noWrap/>
            <w:vAlign w:val="bottom"/>
          </w:tcPr>
          <w:p w:rsidR="007124F0" w:rsidRPr="00E04980" w:rsidRDefault="007124F0" w:rsidP="007124F0">
            <w:pPr>
              <w:rPr>
                <w:rFonts w:cs="Arial"/>
                <w:sz w:val="22"/>
                <w:szCs w:val="22"/>
              </w:rPr>
            </w:pPr>
          </w:p>
        </w:tc>
        <w:tc>
          <w:tcPr>
            <w:tcW w:w="1424" w:type="dxa"/>
            <w:noWrap/>
            <w:vAlign w:val="bottom"/>
          </w:tcPr>
          <w:p w:rsidR="007124F0" w:rsidRPr="00E04980" w:rsidRDefault="007124F0" w:rsidP="007124F0">
            <w:pPr>
              <w:rPr>
                <w:rFonts w:cs="Arial"/>
                <w:sz w:val="22"/>
                <w:szCs w:val="22"/>
              </w:rPr>
            </w:pPr>
          </w:p>
        </w:tc>
        <w:tc>
          <w:tcPr>
            <w:tcW w:w="1739" w:type="dxa"/>
            <w:noWrap/>
            <w:vAlign w:val="bottom"/>
          </w:tcPr>
          <w:p w:rsidR="007124F0" w:rsidRPr="00E04980" w:rsidRDefault="007124F0" w:rsidP="007124F0">
            <w:pPr>
              <w:jc w:val="center"/>
              <w:rPr>
                <w:rFonts w:cs="Arial"/>
                <w:sz w:val="22"/>
                <w:szCs w:val="22"/>
              </w:rPr>
            </w:pPr>
          </w:p>
        </w:tc>
        <w:tc>
          <w:tcPr>
            <w:tcW w:w="1820" w:type="dxa"/>
            <w:noWrap/>
            <w:vAlign w:val="bottom"/>
          </w:tcPr>
          <w:p w:rsidR="007124F0" w:rsidRPr="00E04980" w:rsidRDefault="007124F0" w:rsidP="007124F0">
            <w:pPr>
              <w:jc w:val="center"/>
              <w:rPr>
                <w:rFonts w:cs="Arial"/>
                <w:sz w:val="22"/>
                <w:szCs w:val="22"/>
              </w:rPr>
            </w:pPr>
          </w:p>
        </w:tc>
      </w:tr>
      <w:tr w:rsidR="007124F0" w:rsidRPr="00E04980" w:rsidTr="007124F0">
        <w:trPr>
          <w:trHeight w:val="264"/>
        </w:trPr>
        <w:tc>
          <w:tcPr>
            <w:tcW w:w="3368" w:type="dxa"/>
            <w:noWrap/>
            <w:vAlign w:val="bottom"/>
          </w:tcPr>
          <w:p w:rsidR="007124F0" w:rsidRPr="00E04980" w:rsidRDefault="007124F0" w:rsidP="007124F0">
            <w:pPr>
              <w:rPr>
                <w:rFonts w:cs="Arial"/>
                <w:i/>
                <w:sz w:val="22"/>
                <w:szCs w:val="22"/>
              </w:rPr>
            </w:pPr>
            <w:r w:rsidRPr="00E04980">
              <w:rPr>
                <w:rFonts w:cs="Arial"/>
                <w:i/>
                <w:sz w:val="22"/>
                <w:szCs w:val="22"/>
              </w:rPr>
              <w:t>EquityFinancedInvestment</w:t>
            </w:r>
            <w:r w:rsidRPr="00E04980">
              <w:rPr>
                <w:rFonts w:cs="Arial"/>
                <w:b/>
                <w:i/>
                <w:sz w:val="22"/>
                <w:szCs w:val="22"/>
                <w:vertAlign w:val="subscript"/>
              </w:rPr>
              <w:t>t+12</w:t>
            </w:r>
          </w:p>
        </w:tc>
        <w:tc>
          <w:tcPr>
            <w:tcW w:w="1125" w:type="dxa"/>
            <w:noWrap/>
            <w:vAlign w:val="bottom"/>
          </w:tcPr>
          <w:p w:rsidR="007124F0" w:rsidRPr="00BB7F19" w:rsidRDefault="007124F0" w:rsidP="007124F0">
            <w:pPr>
              <w:jc w:val="center"/>
              <w:rPr>
                <w:rFonts w:cs="Arial"/>
                <w:sz w:val="22"/>
                <w:szCs w:val="22"/>
              </w:rPr>
            </w:pPr>
            <w:r w:rsidRPr="00BB7F19">
              <w:rPr>
                <w:rFonts w:cs="Arial"/>
                <w:sz w:val="22"/>
                <w:szCs w:val="22"/>
              </w:rPr>
              <w:t>30</w:t>
            </w:r>
            <w:r>
              <w:rPr>
                <w:rFonts w:cs="Arial"/>
                <w:sz w:val="22"/>
                <w:szCs w:val="22"/>
              </w:rPr>
              <w:t>.</w:t>
            </w:r>
            <w:r w:rsidRPr="00BB7F19">
              <w:rPr>
                <w:rFonts w:cs="Arial"/>
                <w:sz w:val="22"/>
                <w:szCs w:val="22"/>
              </w:rPr>
              <w:t>51</w:t>
            </w:r>
          </w:p>
        </w:tc>
        <w:tc>
          <w:tcPr>
            <w:tcW w:w="1424" w:type="dxa"/>
            <w:noWrap/>
            <w:vAlign w:val="bottom"/>
          </w:tcPr>
          <w:p w:rsidR="007124F0" w:rsidRPr="00BB7F19" w:rsidRDefault="007124F0" w:rsidP="007124F0">
            <w:pPr>
              <w:jc w:val="center"/>
              <w:rPr>
                <w:rFonts w:cs="Arial"/>
                <w:sz w:val="22"/>
                <w:szCs w:val="22"/>
              </w:rPr>
            </w:pPr>
            <w:r w:rsidRPr="00BB7F19">
              <w:rPr>
                <w:rFonts w:cs="Arial"/>
                <w:sz w:val="22"/>
                <w:szCs w:val="22"/>
              </w:rPr>
              <w:t>33</w:t>
            </w:r>
            <w:r>
              <w:rPr>
                <w:rFonts w:cs="Arial"/>
                <w:sz w:val="22"/>
                <w:szCs w:val="22"/>
              </w:rPr>
              <w:t>.</w:t>
            </w:r>
            <w:r w:rsidRPr="00BB7F19">
              <w:rPr>
                <w:rFonts w:cs="Arial"/>
                <w:sz w:val="22"/>
                <w:szCs w:val="22"/>
              </w:rPr>
              <w:t>63</w:t>
            </w:r>
          </w:p>
        </w:tc>
        <w:tc>
          <w:tcPr>
            <w:tcW w:w="1739" w:type="dxa"/>
            <w:noWrap/>
            <w:vAlign w:val="bottom"/>
          </w:tcPr>
          <w:p w:rsidR="007124F0" w:rsidRPr="00BB7F19" w:rsidRDefault="007124F0" w:rsidP="007124F0">
            <w:pPr>
              <w:jc w:val="center"/>
              <w:rPr>
                <w:rFonts w:cs="Arial"/>
                <w:sz w:val="22"/>
                <w:szCs w:val="22"/>
              </w:rPr>
            </w:pPr>
            <w:r w:rsidRPr="00BB7F19">
              <w:rPr>
                <w:rFonts w:cs="Arial"/>
                <w:sz w:val="22"/>
                <w:szCs w:val="22"/>
              </w:rPr>
              <w:t>-3</w:t>
            </w:r>
            <w:r>
              <w:rPr>
                <w:rFonts w:cs="Arial"/>
                <w:sz w:val="22"/>
                <w:szCs w:val="22"/>
              </w:rPr>
              <w:t>.</w:t>
            </w:r>
            <w:r w:rsidRPr="00BB7F19">
              <w:rPr>
                <w:rFonts w:cs="Arial"/>
                <w:sz w:val="22"/>
                <w:szCs w:val="22"/>
              </w:rPr>
              <w:t>12</w:t>
            </w:r>
          </w:p>
        </w:tc>
        <w:tc>
          <w:tcPr>
            <w:tcW w:w="1820" w:type="dxa"/>
            <w:noWrap/>
            <w:vAlign w:val="bottom"/>
          </w:tcPr>
          <w:p w:rsidR="007124F0" w:rsidRPr="00BB7F19" w:rsidRDefault="007124F0" w:rsidP="007124F0">
            <w:pPr>
              <w:jc w:val="center"/>
              <w:rPr>
                <w:rFonts w:cs="Arial"/>
                <w:sz w:val="22"/>
                <w:szCs w:val="22"/>
              </w:rPr>
            </w:pPr>
            <w:r w:rsidRPr="00BB7F19">
              <w:rPr>
                <w:rFonts w:cs="Arial"/>
                <w:sz w:val="22"/>
                <w:szCs w:val="22"/>
              </w:rPr>
              <w:t>-2</w:t>
            </w:r>
            <w:r>
              <w:rPr>
                <w:rFonts w:cs="Arial"/>
                <w:sz w:val="22"/>
                <w:szCs w:val="22"/>
              </w:rPr>
              <w:t>.</w:t>
            </w:r>
            <w:r w:rsidRPr="00BB7F19">
              <w:rPr>
                <w:rFonts w:cs="Arial"/>
                <w:sz w:val="22"/>
                <w:szCs w:val="22"/>
              </w:rPr>
              <w:t>8</w:t>
            </w:r>
            <w:r>
              <w:rPr>
                <w:rFonts w:cs="Arial"/>
                <w:sz w:val="22"/>
                <w:szCs w:val="22"/>
              </w:rPr>
              <w:t>8</w:t>
            </w:r>
          </w:p>
        </w:tc>
      </w:tr>
      <w:tr w:rsidR="007124F0" w:rsidRPr="00E04980" w:rsidTr="007124F0">
        <w:trPr>
          <w:trHeight w:val="264"/>
        </w:trPr>
        <w:tc>
          <w:tcPr>
            <w:tcW w:w="3368" w:type="dxa"/>
            <w:noWrap/>
          </w:tcPr>
          <w:p w:rsidR="007124F0" w:rsidRPr="00E04980" w:rsidRDefault="007124F0" w:rsidP="007124F0">
            <w:pPr>
              <w:jc w:val="center"/>
              <w:rPr>
                <w:rFonts w:cs="Arial"/>
                <w:i/>
                <w:sz w:val="22"/>
                <w:szCs w:val="22"/>
              </w:rPr>
            </w:pPr>
          </w:p>
        </w:tc>
        <w:tc>
          <w:tcPr>
            <w:tcW w:w="1125" w:type="dxa"/>
            <w:noWrap/>
          </w:tcPr>
          <w:p w:rsidR="007124F0" w:rsidRPr="00E04980" w:rsidRDefault="007124F0" w:rsidP="007124F0">
            <w:pPr>
              <w:jc w:val="center"/>
              <w:rPr>
                <w:rFonts w:cs="Arial"/>
                <w:sz w:val="22"/>
                <w:szCs w:val="22"/>
              </w:rPr>
            </w:pPr>
          </w:p>
        </w:tc>
        <w:tc>
          <w:tcPr>
            <w:tcW w:w="1424" w:type="dxa"/>
            <w:noWrap/>
          </w:tcPr>
          <w:p w:rsidR="007124F0" w:rsidRPr="00E04980" w:rsidRDefault="007124F0" w:rsidP="007124F0">
            <w:pPr>
              <w:jc w:val="center"/>
              <w:rPr>
                <w:rFonts w:cs="Arial"/>
                <w:sz w:val="22"/>
                <w:szCs w:val="22"/>
              </w:rPr>
            </w:pPr>
          </w:p>
        </w:tc>
        <w:tc>
          <w:tcPr>
            <w:tcW w:w="1739"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51</w:t>
            </w:r>
            <w:r w:rsidRPr="00E04980">
              <w:rPr>
                <w:rFonts w:cs="Arial"/>
                <w:sz w:val="22"/>
                <w:szCs w:val="22"/>
              </w:rPr>
              <w:t>)</w:t>
            </w:r>
          </w:p>
        </w:tc>
        <w:tc>
          <w:tcPr>
            <w:tcW w:w="1820"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51</w:t>
            </w:r>
            <w:r w:rsidRPr="00E04980">
              <w:rPr>
                <w:rFonts w:cs="Arial"/>
                <w:sz w:val="22"/>
                <w:szCs w:val="22"/>
              </w:rPr>
              <w:t>)</w:t>
            </w:r>
          </w:p>
        </w:tc>
      </w:tr>
      <w:tr w:rsidR="007124F0" w:rsidRPr="00E04980" w:rsidTr="007124F0">
        <w:trPr>
          <w:trHeight w:val="264"/>
        </w:trPr>
        <w:tc>
          <w:tcPr>
            <w:tcW w:w="3368" w:type="dxa"/>
            <w:noWrap/>
            <w:vAlign w:val="bottom"/>
          </w:tcPr>
          <w:p w:rsidR="007124F0" w:rsidRPr="00E04980" w:rsidRDefault="007124F0" w:rsidP="007124F0">
            <w:pPr>
              <w:rPr>
                <w:rFonts w:cs="Arial"/>
                <w:i/>
                <w:sz w:val="22"/>
                <w:szCs w:val="22"/>
              </w:rPr>
            </w:pPr>
            <w:r w:rsidRPr="00E04980">
              <w:rPr>
                <w:rFonts w:cs="Arial"/>
                <w:i/>
                <w:sz w:val="22"/>
                <w:szCs w:val="22"/>
              </w:rPr>
              <w:t>EquityFinancedInvestment</w:t>
            </w:r>
            <w:r w:rsidRPr="00E04980">
              <w:rPr>
                <w:rFonts w:cs="Arial"/>
                <w:b/>
                <w:i/>
                <w:sz w:val="22"/>
                <w:szCs w:val="22"/>
                <w:vertAlign w:val="subscript"/>
              </w:rPr>
              <w:t>t+24</w:t>
            </w:r>
          </w:p>
        </w:tc>
        <w:tc>
          <w:tcPr>
            <w:tcW w:w="1125" w:type="dxa"/>
            <w:noWrap/>
            <w:vAlign w:val="bottom"/>
          </w:tcPr>
          <w:p w:rsidR="007124F0" w:rsidRPr="00BB7F19" w:rsidRDefault="007124F0" w:rsidP="007124F0">
            <w:pPr>
              <w:jc w:val="center"/>
              <w:rPr>
                <w:rFonts w:cs="Arial"/>
                <w:sz w:val="22"/>
                <w:szCs w:val="22"/>
              </w:rPr>
            </w:pPr>
            <w:r w:rsidRPr="00BB7F19">
              <w:rPr>
                <w:rFonts w:cs="Arial"/>
                <w:sz w:val="22"/>
                <w:szCs w:val="22"/>
              </w:rPr>
              <w:t>36</w:t>
            </w:r>
            <w:r>
              <w:rPr>
                <w:rFonts w:cs="Arial"/>
                <w:sz w:val="22"/>
                <w:szCs w:val="22"/>
              </w:rPr>
              <w:t>.</w:t>
            </w:r>
            <w:r w:rsidRPr="00BB7F19">
              <w:rPr>
                <w:rFonts w:cs="Arial"/>
                <w:sz w:val="22"/>
                <w:szCs w:val="22"/>
              </w:rPr>
              <w:t>18</w:t>
            </w:r>
          </w:p>
        </w:tc>
        <w:tc>
          <w:tcPr>
            <w:tcW w:w="1424" w:type="dxa"/>
            <w:noWrap/>
            <w:vAlign w:val="bottom"/>
          </w:tcPr>
          <w:p w:rsidR="007124F0" w:rsidRPr="00BB7F19" w:rsidRDefault="007124F0" w:rsidP="007124F0">
            <w:pPr>
              <w:jc w:val="center"/>
              <w:rPr>
                <w:rFonts w:cs="Arial"/>
                <w:sz w:val="22"/>
                <w:szCs w:val="22"/>
              </w:rPr>
            </w:pPr>
            <w:r w:rsidRPr="00BB7F19">
              <w:rPr>
                <w:rFonts w:cs="Arial"/>
                <w:sz w:val="22"/>
                <w:szCs w:val="22"/>
              </w:rPr>
              <w:t>42</w:t>
            </w:r>
            <w:r>
              <w:rPr>
                <w:rFonts w:cs="Arial"/>
                <w:sz w:val="22"/>
                <w:szCs w:val="22"/>
              </w:rPr>
              <w:t>.</w:t>
            </w:r>
            <w:r w:rsidRPr="00BB7F19">
              <w:rPr>
                <w:rFonts w:cs="Arial"/>
                <w:sz w:val="22"/>
                <w:szCs w:val="22"/>
              </w:rPr>
              <w:t>08</w:t>
            </w:r>
          </w:p>
        </w:tc>
        <w:tc>
          <w:tcPr>
            <w:tcW w:w="1739" w:type="dxa"/>
            <w:noWrap/>
            <w:vAlign w:val="bottom"/>
          </w:tcPr>
          <w:p w:rsidR="007124F0" w:rsidRPr="00E04980" w:rsidRDefault="007124F0" w:rsidP="007124F0">
            <w:pPr>
              <w:jc w:val="center"/>
              <w:rPr>
                <w:rFonts w:cs="Arial"/>
                <w:sz w:val="22"/>
                <w:szCs w:val="22"/>
              </w:rPr>
            </w:pPr>
            <w:r w:rsidRPr="00BB7F19">
              <w:rPr>
                <w:rFonts w:cs="Arial"/>
                <w:sz w:val="22"/>
                <w:szCs w:val="22"/>
              </w:rPr>
              <w:t>-5</w:t>
            </w:r>
            <w:r>
              <w:rPr>
                <w:rFonts w:cs="Arial"/>
                <w:sz w:val="22"/>
                <w:szCs w:val="22"/>
              </w:rPr>
              <w:t>.90*</w:t>
            </w:r>
            <w:r w:rsidRPr="00E04980">
              <w:rPr>
                <w:rFonts w:cs="Arial"/>
                <w:sz w:val="22"/>
                <w:szCs w:val="22"/>
              </w:rPr>
              <w:t>*</w:t>
            </w:r>
          </w:p>
        </w:tc>
        <w:tc>
          <w:tcPr>
            <w:tcW w:w="1820" w:type="dxa"/>
            <w:noWrap/>
            <w:vAlign w:val="bottom"/>
          </w:tcPr>
          <w:p w:rsidR="007124F0" w:rsidRPr="00E04980" w:rsidRDefault="007124F0" w:rsidP="007124F0">
            <w:pPr>
              <w:jc w:val="center"/>
              <w:rPr>
                <w:rFonts w:cs="Arial"/>
                <w:sz w:val="22"/>
                <w:szCs w:val="22"/>
              </w:rPr>
            </w:pPr>
            <w:r w:rsidRPr="00BB7F19">
              <w:rPr>
                <w:rFonts w:cs="Arial"/>
                <w:sz w:val="22"/>
                <w:szCs w:val="22"/>
              </w:rPr>
              <w:t>-5</w:t>
            </w:r>
            <w:r>
              <w:rPr>
                <w:rFonts w:cs="Arial"/>
                <w:sz w:val="22"/>
                <w:szCs w:val="22"/>
              </w:rPr>
              <w:t>.</w:t>
            </w:r>
            <w:r w:rsidRPr="00BB7F19">
              <w:rPr>
                <w:rFonts w:cs="Arial"/>
                <w:sz w:val="22"/>
                <w:szCs w:val="22"/>
              </w:rPr>
              <w:t>7</w:t>
            </w:r>
            <w:r>
              <w:rPr>
                <w:rFonts w:cs="Arial"/>
                <w:sz w:val="22"/>
                <w:szCs w:val="22"/>
              </w:rPr>
              <w:t>5</w:t>
            </w:r>
            <w:r w:rsidRPr="00E04980">
              <w:rPr>
                <w:rFonts w:cs="Arial"/>
                <w:sz w:val="22"/>
                <w:szCs w:val="22"/>
              </w:rPr>
              <w:t>**</w:t>
            </w:r>
          </w:p>
        </w:tc>
      </w:tr>
      <w:tr w:rsidR="007124F0" w:rsidRPr="00E04980" w:rsidTr="007124F0">
        <w:trPr>
          <w:trHeight w:val="264"/>
        </w:trPr>
        <w:tc>
          <w:tcPr>
            <w:tcW w:w="3368" w:type="dxa"/>
            <w:noWrap/>
          </w:tcPr>
          <w:p w:rsidR="007124F0" w:rsidRPr="00E04980" w:rsidRDefault="007124F0" w:rsidP="007124F0">
            <w:pPr>
              <w:jc w:val="center"/>
              <w:rPr>
                <w:rFonts w:cs="Arial"/>
                <w:i/>
                <w:sz w:val="22"/>
                <w:szCs w:val="22"/>
              </w:rPr>
            </w:pPr>
          </w:p>
        </w:tc>
        <w:tc>
          <w:tcPr>
            <w:tcW w:w="1125" w:type="dxa"/>
            <w:noWrap/>
          </w:tcPr>
          <w:p w:rsidR="007124F0" w:rsidRPr="00E04980" w:rsidRDefault="007124F0" w:rsidP="007124F0">
            <w:pPr>
              <w:jc w:val="center"/>
              <w:rPr>
                <w:rFonts w:cs="Arial"/>
                <w:sz w:val="22"/>
                <w:szCs w:val="22"/>
              </w:rPr>
            </w:pPr>
          </w:p>
        </w:tc>
        <w:tc>
          <w:tcPr>
            <w:tcW w:w="1424" w:type="dxa"/>
            <w:noWrap/>
          </w:tcPr>
          <w:p w:rsidR="007124F0" w:rsidRPr="00E04980" w:rsidRDefault="007124F0" w:rsidP="007124F0">
            <w:pPr>
              <w:jc w:val="center"/>
              <w:rPr>
                <w:rFonts w:cs="Arial"/>
                <w:sz w:val="22"/>
                <w:szCs w:val="22"/>
              </w:rPr>
            </w:pPr>
          </w:p>
        </w:tc>
        <w:tc>
          <w:tcPr>
            <w:tcW w:w="1739"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4</w:t>
            </w:r>
            <w:r>
              <w:rPr>
                <w:rFonts w:cs="Arial"/>
                <w:sz w:val="22"/>
                <w:szCs w:val="22"/>
              </w:rPr>
              <w:t>5</w:t>
            </w:r>
            <w:r w:rsidRPr="00E04980">
              <w:rPr>
                <w:rFonts w:cs="Arial"/>
                <w:sz w:val="22"/>
                <w:szCs w:val="22"/>
              </w:rPr>
              <w:t>)</w:t>
            </w:r>
          </w:p>
        </w:tc>
        <w:tc>
          <w:tcPr>
            <w:tcW w:w="1820" w:type="dxa"/>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4</w:t>
            </w:r>
            <w:r>
              <w:rPr>
                <w:rFonts w:cs="Arial"/>
                <w:sz w:val="22"/>
                <w:szCs w:val="22"/>
              </w:rPr>
              <w:t>5</w:t>
            </w:r>
            <w:r w:rsidRPr="00E04980">
              <w:rPr>
                <w:rFonts w:cs="Arial"/>
                <w:sz w:val="22"/>
                <w:szCs w:val="22"/>
              </w:rPr>
              <w:t>)</w:t>
            </w:r>
          </w:p>
        </w:tc>
      </w:tr>
      <w:tr w:rsidR="007124F0" w:rsidRPr="00E04980" w:rsidTr="007124F0">
        <w:trPr>
          <w:trHeight w:val="264"/>
        </w:trPr>
        <w:tc>
          <w:tcPr>
            <w:tcW w:w="3368" w:type="dxa"/>
            <w:noWrap/>
            <w:vAlign w:val="bottom"/>
          </w:tcPr>
          <w:p w:rsidR="007124F0" w:rsidRPr="00E04980" w:rsidRDefault="007124F0" w:rsidP="007124F0">
            <w:pPr>
              <w:rPr>
                <w:rFonts w:cs="Arial"/>
                <w:i/>
                <w:sz w:val="22"/>
                <w:szCs w:val="22"/>
              </w:rPr>
            </w:pPr>
            <w:r w:rsidRPr="00E04980">
              <w:rPr>
                <w:rFonts w:cs="Arial"/>
                <w:i/>
                <w:sz w:val="22"/>
                <w:szCs w:val="22"/>
              </w:rPr>
              <w:t>EquityFinancedInvestment</w:t>
            </w:r>
            <w:r w:rsidRPr="00E04980">
              <w:rPr>
                <w:rFonts w:cs="Arial"/>
                <w:b/>
                <w:i/>
                <w:sz w:val="22"/>
                <w:szCs w:val="22"/>
                <w:vertAlign w:val="subscript"/>
              </w:rPr>
              <w:t>t+36</w:t>
            </w:r>
          </w:p>
        </w:tc>
        <w:tc>
          <w:tcPr>
            <w:tcW w:w="1125" w:type="dxa"/>
            <w:noWrap/>
            <w:vAlign w:val="bottom"/>
          </w:tcPr>
          <w:p w:rsidR="007124F0" w:rsidRPr="00656BE9" w:rsidRDefault="007124F0" w:rsidP="007124F0">
            <w:pPr>
              <w:jc w:val="center"/>
              <w:rPr>
                <w:rFonts w:cs="Arial"/>
                <w:sz w:val="22"/>
                <w:szCs w:val="22"/>
              </w:rPr>
            </w:pPr>
            <w:r w:rsidRPr="00656BE9">
              <w:rPr>
                <w:rFonts w:cs="Arial"/>
                <w:sz w:val="22"/>
                <w:szCs w:val="22"/>
              </w:rPr>
              <w:t>39</w:t>
            </w:r>
            <w:r>
              <w:rPr>
                <w:rFonts w:cs="Arial"/>
                <w:sz w:val="22"/>
                <w:szCs w:val="22"/>
              </w:rPr>
              <w:t>.</w:t>
            </w:r>
            <w:r w:rsidRPr="00656BE9">
              <w:rPr>
                <w:rFonts w:cs="Arial"/>
                <w:sz w:val="22"/>
                <w:szCs w:val="22"/>
              </w:rPr>
              <w:t>0</w:t>
            </w:r>
            <w:r>
              <w:rPr>
                <w:rFonts w:cs="Arial"/>
                <w:sz w:val="22"/>
                <w:szCs w:val="22"/>
              </w:rPr>
              <w:t>6</w:t>
            </w:r>
          </w:p>
        </w:tc>
        <w:tc>
          <w:tcPr>
            <w:tcW w:w="1424" w:type="dxa"/>
            <w:noWrap/>
            <w:vAlign w:val="bottom"/>
          </w:tcPr>
          <w:p w:rsidR="007124F0" w:rsidRPr="00656BE9" w:rsidRDefault="007124F0" w:rsidP="007124F0">
            <w:pPr>
              <w:jc w:val="center"/>
              <w:rPr>
                <w:rFonts w:cs="Arial"/>
                <w:sz w:val="22"/>
                <w:szCs w:val="22"/>
              </w:rPr>
            </w:pPr>
            <w:r w:rsidRPr="00656BE9">
              <w:rPr>
                <w:rFonts w:cs="Arial"/>
                <w:sz w:val="22"/>
                <w:szCs w:val="22"/>
              </w:rPr>
              <w:t>44</w:t>
            </w:r>
            <w:r>
              <w:rPr>
                <w:rFonts w:cs="Arial"/>
                <w:sz w:val="22"/>
                <w:szCs w:val="22"/>
              </w:rPr>
              <w:t>.</w:t>
            </w:r>
            <w:r w:rsidRPr="00656BE9">
              <w:rPr>
                <w:rFonts w:cs="Arial"/>
                <w:sz w:val="22"/>
                <w:szCs w:val="22"/>
              </w:rPr>
              <w:t>8</w:t>
            </w:r>
            <w:r>
              <w:rPr>
                <w:rFonts w:cs="Arial"/>
                <w:sz w:val="22"/>
                <w:szCs w:val="22"/>
              </w:rPr>
              <w:t>4</w:t>
            </w:r>
          </w:p>
        </w:tc>
        <w:tc>
          <w:tcPr>
            <w:tcW w:w="1739" w:type="dxa"/>
            <w:noWrap/>
            <w:vAlign w:val="bottom"/>
          </w:tcPr>
          <w:p w:rsidR="007124F0" w:rsidRPr="00E04980" w:rsidRDefault="007124F0" w:rsidP="007124F0">
            <w:pPr>
              <w:jc w:val="center"/>
              <w:rPr>
                <w:rFonts w:cs="Arial"/>
                <w:sz w:val="22"/>
                <w:szCs w:val="22"/>
              </w:rPr>
            </w:pPr>
            <w:r w:rsidRPr="00BB7F19">
              <w:rPr>
                <w:rFonts w:cs="Arial"/>
                <w:sz w:val="22"/>
                <w:szCs w:val="22"/>
              </w:rPr>
              <w:t>-5</w:t>
            </w:r>
            <w:r>
              <w:rPr>
                <w:rFonts w:cs="Arial"/>
                <w:sz w:val="22"/>
                <w:szCs w:val="22"/>
              </w:rPr>
              <w:t>.</w:t>
            </w:r>
            <w:r w:rsidRPr="00BB7F19">
              <w:rPr>
                <w:rFonts w:cs="Arial"/>
                <w:sz w:val="22"/>
                <w:szCs w:val="22"/>
              </w:rPr>
              <w:t>7</w:t>
            </w:r>
            <w:r>
              <w:rPr>
                <w:rFonts w:cs="Arial"/>
                <w:sz w:val="22"/>
                <w:szCs w:val="22"/>
              </w:rPr>
              <w:t>8</w:t>
            </w:r>
            <w:r w:rsidRPr="00E04980">
              <w:rPr>
                <w:rFonts w:cs="Arial"/>
                <w:sz w:val="22"/>
                <w:szCs w:val="22"/>
              </w:rPr>
              <w:t>**</w:t>
            </w:r>
          </w:p>
        </w:tc>
        <w:tc>
          <w:tcPr>
            <w:tcW w:w="1820" w:type="dxa"/>
            <w:noWrap/>
            <w:vAlign w:val="bottom"/>
          </w:tcPr>
          <w:p w:rsidR="007124F0" w:rsidRPr="00E04980" w:rsidRDefault="007124F0" w:rsidP="007124F0">
            <w:pPr>
              <w:jc w:val="center"/>
              <w:rPr>
                <w:rFonts w:cs="Arial"/>
                <w:sz w:val="22"/>
                <w:szCs w:val="22"/>
              </w:rPr>
            </w:pPr>
            <w:r w:rsidRPr="00BB7F19">
              <w:rPr>
                <w:rFonts w:cs="Arial"/>
                <w:sz w:val="22"/>
                <w:szCs w:val="22"/>
              </w:rPr>
              <w:t>-5</w:t>
            </w:r>
            <w:r>
              <w:rPr>
                <w:rFonts w:cs="Arial"/>
                <w:sz w:val="22"/>
                <w:szCs w:val="22"/>
              </w:rPr>
              <w:t>.</w:t>
            </w:r>
            <w:r w:rsidRPr="00BB7F19">
              <w:rPr>
                <w:rFonts w:cs="Arial"/>
                <w:sz w:val="22"/>
                <w:szCs w:val="22"/>
              </w:rPr>
              <w:t>90</w:t>
            </w:r>
            <w:r w:rsidRPr="00E04980">
              <w:rPr>
                <w:rFonts w:cs="Arial"/>
                <w:sz w:val="22"/>
                <w:szCs w:val="22"/>
              </w:rPr>
              <w:t>**</w:t>
            </w:r>
          </w:p>
        </w:tc>
      </w:tr>
      <w:tr w:rsidR="007124F0" w:rsidRPr="00E04980" w:rsidTr="007124F0">
        <w:trPr>
          <w:trHeight w:val="264"/>
        </w:trPr>
        <w:tc>
          <w:tcPr>
            <w:tcW w:w="3368" w:type="dxa"/>
            <w:tcBorders>
              <w:bottom w:val="double" w:sz="4" w:space="0" w:color="auto"/>
            </w:tcBorders>
            <w:noWrap/>
          </w:tcPr>
          <w:p w:rsidR="007124F0" w:rsidRPr="00E04980" w:rsidRDefault="007124F0" w:rsidP="007124F0">
            <w:pPr>
              <w:jc w:val="center"/>
              <w:rPr>
                <w:rFonts w:cs="Arial"/>
                <w:sz w:val="22"/>
                <w:szCs w:val="22"/>
              </w:rPr>
            </w:pPr>
          </w:p>
        </w:tc>
        <w:tc>
          <w:tcPr>
            <w:tcW w:w="1125" w:type="dxa"/>
            <w:tcBorders>
              <w:bottom w:val="double" w:sz="4" w:space="0" w:color="auto"/>
            </w:tcBorders>
            <w:noWrap/>
          </w:tcPr>
          <w:p w:rsidR="007124F0" w:rsidRPr="00E04980" w:rsidRDefault="007124F0" w:rsidP="007124F0">
            <w:pPr>
              <w:jc w:val="center"/>
              <w:rPr>
                <w:rFonts w:cs="Arial"/>
                <w:sz w:val="22"/>
                <w:szCs w:val="22"/>
              </w:rPr>
            </w:pPr>
          </w:p>
        </w:tc>
        <w:tc>
          <w:tcPr>
            <w:tcW w:w="1424" w:type="dxa"/>
            <w:tcBorders>
              <w:bottom w:val="double" w:sz="4" w:space="0" w:color="auto"/>
            </w:tcBorders>
            <w:noWrap/>
          </w:tcPr>
          <w:p w:rsidR="007124F0" w:rsidRPr="00E04980" w:rsidRDefault="007124F0" w:rsidP="007124F0">
            <w:pPr>
              <w:jc w:val="center"/>
              <w:rPr>
                <w:rFonts w:cs="Arial"/>
                <w:sz w:val="22"/>
                <w:szCs w:val="22"/>
              </w:rPr>
            </w:pPr>
          </w:p>
        </w:tc>
        <w:tc>
          <w:tcPr>
            <w:tcW w:w="1739" w:type="dxa"/>
            <w:tcBorders>
              <w:bottom w:val="double" w:sz="4" w:space="0" w:color="auto"/>
            </w:tcBorders>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33</w:t>
            </w:r>
            <w:r w:rsidRPr="00E04980">
              <w:rPr>
                <w:rFonts w:cs="Arial"/>
                <w:sz w:val="22"/>
                <w:szCs w:val="22"/>
              </w:rPr>
              <w:t>)</w:t>
            </w:r>
          </w:p>
        </w:tc>
        <w:tc>
          <w:tcPr>
            <w:tcW w:w="1820" w:type="dxa"/>
            <w:tcBorders>
              <w:bottom w:val="double" w:sz="4" w:space="0" w:color="auto"/>
            </w:tcBorders>
            <w:noWrap/>
          </w:tcPr>
          <w:p w:rsidR="007124F0" w:rsidRPr="00E04980" w:rsidRDefault="007124F0" w:rsidP="007124F0">
            <w:pPr>
              <w:jc w:val="center"/>
              <w:rPr>
                <w:rFonts w:cs="Arial"/>
                <w:sz w:val="22"/>
                <w:szCs w:val="22"/>
              </w:rPr>
            </w:pPr>
            <w:r w:rsidRPr="00E04980">
              <w:rPr>
                <w:rFonts w:cs="Arial"/>
                <w:sz w:val="22"/>
                <w:szCs w:val="22"/>
              </w:rPr>
              <w:t>(</w:t>
            </w:r>
            <w:r w:rsidRPr="00BB7F19">
              <w:rPr>
                <w:rFonts w:cs="Arial"/>
                <w:sz w:val="22"/>
                <w:szCs w:val="22"/>
              </w:rPr>
              <w:t>2</w:t>
            </w:r>
            <w:r>
              <w:rPr>
                <w:rFonts w:cs="Arial"/>
                <w:sz w:val="22"/>
                <w:szCs w:val="22"/>
              </w:rPr>
              <w:t>.</w:t>
            </w:r>
            <w:r w:rsidRPr="00BB7F19">
              <w:rPr>
                <w:rFonts w:cs="Arial"/>
                <w:sz w:val="22"/>
                <w:szCs w:val="22"/>
              </w:rPr>
              <w:t>33</w:t>
            </w:r>
            <w:r w:rsidRPr="00E04980">
              <w:rPr>
                <w:rFonts w:cs="Arial"/>
                <w:sz w:val="22"/>
                <w:szCs w:val="22"/>
              </w:rPr>
              <w:t>)</w:t>
            </w:r>
          </w:p>
        </w:tc>
      </w:tr>
    </w:tbl>
    <w:p w:rsidR="007124F0" w:rsidRPr="00E94F44" w:rsidRDefault="007124F0" w:rsidP="007124F0">
      <w:pPr>
        <w:jc w:val="both"/>
        <w:rPr>
          <w:sz w:val="18"/>
          <w:szCs w:val="18"/>
        </w:rPr>
      </w:pPr>
      <w:r w:rsidRPr="00E94F44">
        <w:rPr>
          <w:sz w:val="18"/>
          <w:szCs w:val="18"/>
        </w:rPr>
        <w:t xml:space="preserve">Note: ***, ** and * indicate statistical significance at the 1%, 5% and 10% (two-tail) test levels, respectively. </w:t>
      </w:r>
    </w:p>
    <w:p w:rsidR="007124F0" w:rsidRPr="00E04980" w:rsidRDefault="007124F0" w:rsidP="007124F0">
      <w:pPr>
        <w:jc w:val="both"/>
        <w:rPr>
          <w:sz w:val="22"/>
          <w:szCs w:val="22"/>
        </w:rPr>
      </w:pPr>
    </w:p>
    <w:p w:rsidR="007124F0" w:rsidRPr="00E04980" w:rsidRDefault="007124F0" w:rsidP="007124F0">
      <w:pPr>
        <w:rPr>
          <w:sz w:val="22"/>
          <w:szCs w:val="22"/>
        </w:rPr>
      </w:pPr>
    </w:p>
    <w:p w:rsidR="007124F0" w:rsidRPr="002D04FF" w:rsidRDefault="007124F0" w:rsidP="007124F0">
      <w:r w:rsidRPr="00FD4A39">
        <w:rPr>
          <w:sz w:val="22"/>
          <w:szCs w:val="22"/>
        </w:rPr>
        <w:br w:type="page"/>
      </w:r>
      <w:r w:rsidRPr="002D04FF">
        <w:lastRenderedPageBreak/>
        <w:t xml:space="preserve">Table </w:t>
      </w:r>
      <w:r>
        <w:t>12</w:t>
      </w:r>
      <w:r w:rsidRPr="002D04FF">
        <w:t xml:space="preserve"> – Value and Secured Leverage </w:t>
      </w:r>
    </w:p>
    <w:p w:rsidR="007124F0" w:rsidRPr="00FD4A39" w:rsidRDefault="007124F0" w:rsidP="007124F0">
      <w:pPr>
        <w:rPr>
          <w:sz w:val="22"/>
          <w:szCs w:val="22"/>
        </w:rPr>
      </w:pPr>
    </w:p>
    <w:p w:rsidR="007124F0" w:rsidRPr="00FD4A39" w:rsidRDefault="007124F0" w:rsidP="007124F0">
      <w:pPr>
        <w:jc w:val="both"/>
        <w:rPr>
          <w:sz w:val="22"/>
          <w:szCs w:val="22"/>
        </w:rPr>
      </w:pPr>
      <w:r w:rsidRPr="00FD4A39">
        <w:rPr>
          <w:sz w:val="22"/>
          <w:szCs w:val="22"/>
        </w:rPr>
        <w:t xml:space="preserve">This table reports regression results for OLS and generalized-system method of moments (GMM) estimations of the value and secured leverage models (Eq. (1) and Eq. (2) in the text) for our sample of equity REITs over the sample period 1991-2007. For the GMM estimations, variables are first-differenced to control for firm-fixed effects. </w:t>
      </w:r>
      <w:r>
        <w:rPr>
          <w:sz w:val="22"/>
          <w:szCs w:val="22"/>
        </w:rPr>
        <w:t xml:space="preserve">OLS regressions also include property type and year fixed effects.  </w:t>
      </w:r>
      <w:r w:rsidRPr="00FD4A39">
        <w:rPr>
          <w:sz w:val="22"/>
          <w:szCs w:val="22"/>
        </w:rPr>
        <w:t xml:space="preserve">In Panel A, the dependent variable is </w:t>
      </w:r>
      <w:r>
        <w:rPr>
          <w:i/>
          <w:sz w:val="22"/>
          <w:szCs w:val="22"/>
        </w:rPr>
        <w:t>q</w:t>
      </w:r>
      <w:r w:rsidRPr="00FD4A39">
        <w:rPr>
          <w:sz w:val="22"/>
          <w:szCs w:val="22"/>
        </w:rPr>
        <w:t xml:space="preserve">. In Panel B, the dependent variables are respectively </w:t>
      </w:r>
      <w:r w:rsidRPr="00FD4A39">
        <w:rPr>
          <w:i/>
          <w:sz w:val="22"/>
          <w:szCs w:val="22"/>
        </w:rPr>
        <w:t>SecuredMarketLeverage</w:t>
      </w:r>
      <w:r w:rsidRPr="00FD4A39">
        <w:rPr>
          <w:sz w:val="22"/>
          <w:szCs w:val="22"/>
        </w:rPr>
        <w:t xml:space="preserve"> and </w:t>
      </w:r>
      <w:r w:rsidRPr="00FD4A39">
        <w:rPr>
          <w:i/>
          <w:sz w:val="22"/>
          <w:szCs w:val="22"/>
        </w:rPr>
        <w:t>SecuredBookLeverage.</w:t>
      </w:r>
      <w:r w:rsidRPr="00FD4A39">
        <w:rPr>
          <w:sz w:val="22"/>
          <w:szCs w:val="22"/>
        </w:rPr>
        <w:t xml:space="preserve"> All va</w:t>
      </w:r>
      <w:r w:rsidR="00D060DD">
        <w:rPr>
          <w:sz w:val="22"/>
          <w:szCs w:val="22"/>
        </w:rPr>
        <w:t>riables in the first-difference</w:t>
      </w:r>
      <w:r w:rsidRPr="00FD4A39">
        <w:rPr>
          <w:sz w:val="22"/>
          <w:szCs w:val="22"/>
        </w:rPr>
        <w:t xml:space="preserve"> equation are instrumented by their fourth-ninth lags in levels. </w:t>
      </w:r>
      <w:r w:rsidR="00351A28">
        <w:rPr>
          <w:sz w:val="22"/>
          <w:szCs w:val="22"/>
        </w:rPr>
        <w:t xml:space="preserve">The instrumental set also includes a constant term. </w:t>
      </w:r>
      <w:r w:rsidRPr="00FD4A39">
        <w:rPr>
          <w:sz w:val="22"/>
          <w:szCs w:val="22"/>
        </w:rPr>
        <w:t xml:space="preserve">In Panel B, we also include </w:t>
      </w:r>
      <w:r w:rsidRPr="00FD4A39">
        <w:rPr>
          <w:i/>
          <w:sz w:val="22"/>
          <w:szCs w:val="22"/>
        </w:rPr>
        <w:t>EarningsChange</w:t>
      </w:r>
      <w:r w:rsidRPr="00FD4A39">
        <w:rPr>
          <w:sz w:val="22"/>
          <w:szCs w:val="22"/>
        </w:rPr>
        <w:t xml:space="preserve"> as an “outside” instrument for </w:t>
      </w:r>
      <w:r>
        <w:rPr>
          <w:i/>
          <w:sz w:val="22"/>
          <w:szCs w:val="22"/>
        </w:rPr>
        <w:t>q</w:t>
      </w:r>
      <w:r w:rsidRPr="00FD4A39">
        <w:rPr>
          <w:sz w:val="22"/>
          <w:szCs w:val="22"/>
        </w:rPr>
        <w:t xml:space="preserve">. All firm level data are from SNL Datasource. Refer to </w:t>
      </w:r>
      <w:r>
        <w:rPr>
          <w:sz w:val="22"/>
          <w:szCs w:val="22"/>
        </w:rPr>
        <w:t xml:space="preserve">previous </w:t>
      </w:r>
      <w:r w:rsidRPr="00FD4A39">
        <w:rPr>
          <w:sz w:val="22"/>
          <w:szCs w:val="22"/>
        </w:rPr>
        <w:t>Table</w:t>
      </w:r>
      <w:r>
        <w:rPr>
          <w:sz w:val="22"/>
          <w:szCs w:val="22"/>
        </w:rPr>
        <w:t xml:space="preserve">s </w:t>
      </w:r>
      <w:r w:rsidRPr="00FD4A39">
        <w:rPr>
          <w:sz w:val="22"/>
          <w:szCs w:val="22"/>
        </w:rPr>
        <w:t xml:space="preserve">for detailed variable definitions. The sample includes </w:t>
      </w:r>
      <w:r>
        <w:rPr>
          <w:sz w:val="22"/>
          <w:szCs w:val="22"/>
        </w:rPr>
        <w:t>multi-family,</w:t>
      </w:r>
      <w:r w:rsidRPr="00FD4A39">
        <w:rPr>
          <w:sz w:val="22"/>
          <w:szCs w:val="22"/>
        </w:rPr>
        <w:t xml:space="preserve"> retail, office, and industrial REITs. All regressions include year </w:t>
      </w:r>
      <w:r>
        <w:rPr>
          <w:sz w:val="22"/>
          <w:szCs w:val="22"/>
        </w:rPr>
        <w:t xml:space="preserve">and </w:t>
      </w:r>
      <w:r w:rsidRPr="00FD4A39">
        <w:rPr>
          <w:sz w:val="22"/>
          <w:szCs w:val="22"/>
        </w:rPr>
        <w:t>dummies</w:t>
      </w:r>
      <w:r>
        <w:rPr>
          <w:sz w:val="22"/>
          <w:szCs w:val="22"/>
        </w:rPr>
        <w:t>, and OLS regressions include property type dummies</w:t>
      </w:r>
      <w:r w:rsidRPr="00FD4A39">
        <w:rPr>
          <w:sz w:val="22"/>
          <w:szCs w:val="22"/>
        </w:rPr>
        <w:t>. Standard errors reported in parentheses are based on heteroskedastic consistent errors adjusted for clustering across observations of a given firm (Rogers, 1993).</w:t>
      </w:r>
    </w:p>
    <w:p w:rsidR="007124F0" w:rsidRPr="00FD4A39" w:rsidRDefault="007124F0" w:rsidP="007124F0">
      <w:pPr>
        <w:jc w:val="both"/>
        <w:rPr>
          <w:sz w:val="22"/>
          <w:szCs w:val="22"/>
        </w:rPr>
      </w:pPr>
    </w:p>
    <w:tbl>
      <w:tblPr>
        <w:tblW w:w="9368" w:type="dxa"/>
        <w:tblLook w:val="0000"/>
      </w:tblPr>
      <w:tblGrid>
        <w:gridCol w:w="2648"/>
        <w:gridCol w:w="1560"/>
        <w:gridCol w:w="1680"/>
        <w:gridCol w:w="360"/>
        <w:gridCol w:w="1440"/>
        <w:gridCol w:w="1680"/>
      </w:tblGrid>
      <w:tr w:rsidR="007124F0" w:rsidRPr="00FD4A39" w:rsidTr="007124F0">
        <w:trPr>
          <w:trHeight w:val="264"/>
        </w:trPr>
        <w:tc>
          <w:tcPr>
            <w:tcW w:w="2648" w:type="dxa"/>
            <w:tcBorders>
              <w:top w:val="double" w:sz="4" w:space="0" w:color="auto"/>
            </w:tcBorders>
            <w:noWrap/>
            <w:vAlign w:val="bottom"/>
          </w:tcPr>
          <w:p w:rsidR="007124F0" w:rsidRPr="00FD4A39" w:rsidRDefault="007124F0" w:rsidP="007124F0">
            <w:pPr>
              <w:rPr>
                <w:rFonts w:cs="Arial"/>
                <w:b/>
                <w:sz w:val="22"/>
                <w:szCs w:val="22"/>
              </w:rPr>
            </w:pPr>
          </w:p>
          <w:p w:rsidR="007124F0" w:rsidRPr="00FD4A39" w:rsidRDefault="007124F0" w:rsidP="007124F0">
            <w:pPr>
              <w:rPr>
                <w:rFonts w:cs="Arial"/>
                <w:b/>
                <w:i/>
                <w:sz w:val="22"/>
                <w:szCs w:val="22"/>
              </w:rPr>
            </w:pPr>
            <w:r w:rsidRPr="00FD4A39">
              <w:rPr>
                <w:rFonts w:cs="Arial"/>
                <w:b/>
                <w:sz w:val="22"/>
                <w:szCs w:val="22"/>
              </w:rPr>
              <w:t xml:space="preserve">Panel A: </w:t>
            </w:r>
            <w:r>
              <w:rPr>
                <w:rFonts w:cs="Arial"/>
                <w:b/>
                <w:i/>
                <w:sz w:val="22"/>
                <w:szCs w:val="22"/>
              </w:rPr>
              <w:t>q</w:t>
            </w:r>
          </w:p>
        </w:tc>
        <w:tc>
          <w:tcPr>
            <w:tcW w:w="3240" w:type="dxa"/>
            <w:gridSpan w:val="2"/>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OLS</w:t>
            </w:r>
          </w:p>
        </w:tc>
        <w:tc>
          <w:tcPr>
            <w:tcW w:w="360" w:type="dxa"/>
            <w:tcBorders>
              <w:top w:val="double" w:sz="4" w:space="0" w:color="auto"/>
            </w:tcBorders>
          </w:tcPr>
          <w:p w:rsidR="007124F0" w:rsidRPr="00FD4A39" w:rsidRDefault="007124F0" w:rsidP="007124F0">
            <w:pPr>
              <w:jc w:val="center"/>
              <w:rPr>
                <w:rFonts w:cs="Arial"/>
                <w:sz w:val="22"/>
                <w:szCs w:val="22"/>
              </w:rPr>
            </w:pPr>
          </w:p>
        </w:tc>
        <w:tc>
          <w:tcPr>
            <w:tcW w:w="3120" w:type="dxa"/>
            <w:gridSpan w:val="2"/>
            <w:tcBorders>
              <w:top w:val="double" w:sz="4" w:space="0" w:color="auto"/>
              <w:bottom w:val="single" w:sz="4" w:space="0" w:color="auto"/>
            </w:tcBorders>
            <w:vAlign w:val="bottom"/>
          </w:tcPr>
          <w:p w:rsidR="007124F0" w:rsidRPr="00FD4A39" w:rsidRDefault="007124F0" w:rsidP="007124F0">
            <w:pPr>
              <w:jc w:val="center"/>
              <w:rPr>
                <w:rFonts w:cs="Arial"/>
                <w:sz w:val="22"/>
                <w:szCs w:val="22"/>
              </w:rPr>
            </w:pPr>
            <w:r w:rsidRPr="00FD4A39">
              <w:rPr>
                <w:rFonts w:cs="Arial"/>
                <w:sz w:val="22"/>
                <w:szCs w:val="22"/>
              </w:rPr>
              <w:t>GMM</w:t>
            </w:r>
          </w:p>
        </w:tc>
      </w:tr>
      <w:tr w:rsidR="007124F0" w:rsidRPr="00FD4A39" w:rsidTr="007124F0">
        <w:trPr>
          <w:trHeight w:val="264"/>
        </w:trPr>
        <w:tc>
          <w:tcPr>
            <w:tcW w:w="2648" w:type="dxa"/>
            <w:tcBorders>
              <w:bottom w:val="single" w:sz="4" w:space="0" w:color="auto"/>
            </w:tcBorders>
            <w:noWrap/>
            <w:vAlign w:val="bottom"/>
          </w:tcPr>
          <w:p w:rsidR="007124F0" w:rsidRPr="00FD4A39" w:rsidRDefault="007124F0" w:rsidP="007124F0">
            <w:pPr>
              <w:rPr>
                <w:rFonts w:cs="Arial"/>
                <w:b/>
                <w:sz w:val="22"/>
                <w:szCs w:val="22"/>
              </w:rPr>
            </w:pPr>
          </w:p>
        </w:tc>
        <w:tc>
          <w:tcPr>
            <w:tcW w:w="1560" w:type="dxa"/>
            <w:tcBorders>
              <w:top w:val="single" w:sz="4" w:space="0" w:color="auto"/>
              <w:bottom w:val="single" w:sz="4" w:space="0" w:color="auto"/>
            </w:tcBorders>
            <w:noWrap/>
          </w:tcPr>
          <w:p w:rsidR="007124F0" w:rsidRPr="00FD4A39" w:rsidRDefault="007124F0" w:rsidP="007124F0">
            <w:pPr>
              <w:jc w:val="center"/>
              <w:rPr>
                <w:rFonts w:cs="Arial"/>
                <w:sz w:val="22"/>
                <w:szCs w:val="22"/>
              </w:rPr>
            </w:pPr>
            <w:r w:rsidRPr="00FD4A39">
              <w:rPr>
                <w:rFonts w:cs="Arial"/>
                <w:sz w:val="22"/>
                <w:szCs w:val="22"/>
              </w:rPr>
              <w:t>(1)</w:t>
            </w:r>
          </w:p>
        </w:tc>
        <w:tc>
          <w:tcPr>
            <w:tcW w:w="1680" w:type="dxa"/>
            <w:tcBorders>
              <w:top w:val="single" w:sz="4" w:space="0" w:color="auto"/>
              <w:bottom w:val="single" w:sz="4" w:space="0" w:color="auto"/>
            </w:tcBorders>
            <w:noWrap/>
          </w:tcPr>
          <w:p w:rsidR="007124F0" w:rsidRPr="00FD4A39" w:rsidRDefault="007124F0" w:rsidP="007124F0">
            <w:pPr>
              <w:jc w:val="center"/>
              <w:rPr>
                <w:rFonts w:cs="Arial"/>
                <w:sz w:val="22"/>
                <w:szCs w:val="22"/>
              </w:rPr>
            </w:pPr>
            <w:r w:rsidRPr="00FD4A39">
              <w:rPr>
                <w:rFonts w:cs="Arial"/>
                <w:sz w:val="22"/>
                <w:szCs w:val="22"/>
              </w:rPr>
              <w:t>(2)</w:t>
            </w:r>
          </w:p>
        </w:tc>
        <w:tc>
          <w:tcPr>
            <w:tcW w:w="360" w:type="dxa"/>
            <w:tcBorders>
              <w:bottom w:val="single" w:sz="4" w:space="0" w:color="auto"/>
            </w:tcBorders>
          </w:tcPr>
          <w:p w:rsidR="007124F0" w:rsidRPr="00FD4A39" w:rsidRDefault="007124F0" w:rsidP="007124F0">
            <w:pPr>
              <w:jc w:val="center"/>
              <w:rPr>
                <w:rFonts w:cs="Arial"/>
                <w:i/>
                <w:sz w:val="22"/>
                <w:szCs w:val="22"/>
              </w:rPr>
            </w:pPr>
          </w:p>
        </w:tc>
        <w:tc>
          <w:tcPr>
            <w:tcW w:w="1440" w:type="dxa"/>
            <w:tcBorders>
              <w:top w:val="single" w:sz="4" w:space="0" w:color="auto"/>
              <w:bottom w:val="single" w:sz="4" w:space="0" w:color="auto"/>
            </w:tcBorders>
          </w:tcPr>
          <w:p w:rsidR="007124F0" w:rsidRPr="00FD4A39" w:rsidRDefault="007124F0" w:rsidP="007124F0">
            <w:pPr>
              <w:jc w:val="center"/>
              <w:rPr>
                <w:rFonts w:cs="Arial"/>
                <w:sz w:val="22"/>
                <w:szCs w:val="22"/>
              </w:rPr>
            </w:pPr>
            <w:r w:rsidRPr="00FD4A39">
              <w:rPr>
                <w:rFonts w:cs="Arial"/>
                <w:sz w:val="22"/>
                <w:szCs w:val="22"/>
              </w:rPr>
              <w:t>(3)</w:t>
            </w:r>
          </w:p>
        </w:tc>
        <w:tc>
          <w:tcPr>
            <w:tcW w:w="1680" w:type="dxa"/>
            <w:tcBorders>
              <w:top w:val="single" w:sz="4" w:space="0" w:color="auto"/>
              <w:bottom w:val="single" w:sz="4" w:space="0" w:color="auto"/>
            </w:tcBorders>
          </w:tcPr>
          <w:p w:rsidR="007124F0" w:rsidRPr="00FD4A39" w:rsidRDefault="007124F0" w:rsidP="007124F0">
            <w:pPr>
              <w:jc w:val="center"/>
              <w:rPr>
                <w:rFonts w:cs="Arial"/>
                <w:sz w:val="22"/>
                <w:szCs w:val="22"/>
              </w:rPr>
            </w:pPr>
            <w:r w:rsidRPr="00FD4A39">
              <w:rPr>
                <w:rFonts w:cs="Arial"/>
                <w:sz w:val="22"/>
                <w:szCs w:val="22"/>
              </w:rPr>
              <w:t>(4)</w:t>
            </w:r>
          </w:p>
        </w:tc>
      </w:tr>
      <w:tr w:rsidR="007124F0" w:rsidRPr="00FD4A39" w:rsidTr="0078502E">
        <w:trPr>
          <w:trHeight w:val="264"/>
        </w:trPr>
        <w:tc>
          <w:tcPr>
            <w:tcW w:w="2648" w:type="dxa"/>
            <w:tcBorders>
              <w:top w:val="single" w:sz="4" w:space="0" w:color="auto"/>
            </w:tcBorders>
            <w:noWrap/>
            <w:vAlign w:val="bottom"/>
          </w:tcPr>
          <w:p w:rsidR="007124F0" w:rsidRPr="00FD4A39" w:rsidRDefault="007124F0" w:rsidP="0078502E">
            <w:pPr>
              <w:rPr>
                <w:rFonts w:cs="Arial"/>
                <w:i/>
                <w:sz w:val="22"/>
                <w:szCs w:val="22"/>
              </w:rPr>
            </w:pPr>
            <w:r w:rsidRPr="00FD4A39">
              <w:rPr>
                <w:rFonts w:cs="Arial"/>
                <w:i/>
                <w:sz w:val="22"/>
                <w:szCs w:val="22"/>
              </w:rPr>
              <w:t>SecuredMarketLeverage</w:t>
            </w:r>
          </w:p>
        </w:tc>
        <w:tc>
          <w:tcPr>
            <w:tcW w:w="1560" w:type="dxa"/>
            <w:tcBorders>
              <w:top w:val="single" w:sz="4" w:space="0" w:color="auto"/>
            </w:tcBorders>
            <w:noWrap/>
            <w:vAlign w:val="bottom"/>
          </w:tcPr>
          <w:p w:rsidR="007124F0" w:rsidRPr="005527A5" w:rsidRDefault="007124F0" w:rsidP="0078502E">
            <w:pPr>
              <w:jc w:val="center"/>
              <w:rPr>
                <w:sz w:val="22"/>
                <w:szCs w:val="22"/>
              </w:rPr>
            </w:pPr>
            <w:r w:rsidRPr="005527A5">
              <w:rPr>
                <w:sz w:val="22"/>
                <w:szCs w:val="22"/>
              </w:rPr>
              <w:t>-0.361***</w:t>
            </w:r>
          </w:p>
        </w:tc>
        <w:tc>
          <w:tcPr>
            <w:tcW w:w="1680" w:type="dxa"/>
            <w:tcBorders>
              <w:top w:val="single" w:sz="4" w:space="0" w:color="auto"/>
            </w:tcBorders>
            <w:noWrap/>
            <w:vAlign w:val="bottom"/>
          </w:tcPr>
          <w:p w:rsidR="007124F0" w:rsidRPr="00FD4A39" w:rsidRDefault="007124F0" w:rsidP="0078502E">
            <w:pPr>
              <w:jc w:val="center"/>
              <w:rPr>
                <w:rFonts w:cs="Arial"/>
                <w:sz w:val="22"/>
                <w:szCs w:val="22"/>
              </w:rPr>
            </w:pPr>
          </w:p>
        </w:tc>
        <w:tc>
          <w:tcPr>
            <w:tcW w:w="360" w:type="dxa"/>
            <w:tcBorders>
              <w:top w:val="single" w:sz="4" w:space="0" w:color="auto"/>
            </w:tcBorders>
            <w:vAlign w:val="bottom"/>
          </w:tcPr>
          <w:p w:rsidR="007124F0" w:rsidRPr="00FD4A39" w:rsidRDefault="007124F0" w:rsidP="0078502E">
            <w:pPr>
              <w:jc w:val="center"/>
              <w:rPr>
                <w:rFonts w:cs="Arial"/>
                <w:sz w:val="22"/>
                <w:szCs w:val="22"/>
              </w:rPr>
            </w:pPr>
          </w:p>
        </w:tc>
        <w:tc>
          <w:tcPr>
            <w:tcW w:w="1440" w:type="dxa"/>
            <w:tcBorders>
              <w:top w:val="single" w:sz="4" w:space="0" w:color="auto"/>
            </w:tcBorders>
            <w:vAlign w:val="bottom"/>
          </w:tcPr>
          <w:p w:rsidR="007124F0" w:rsidRPr="00FD4A39" w:rsidRDefault="007124F0" w:rsidP="0078502E">
            <w:pPr>
              <w:jc w:val="center"/>
              <w:rPr>
                <w:rFonts w:cs="Arial"/>
                <w:sz w:val="22"/>
                <w:szCs w:val="22"/>
              </w:rPr>
            </w:pPr>
            <w:r w:rsidRPr="00FD4A39">
              <w:rPr>
                <w:rFonts w:cs="Arial"/>
                <w:sz w:val="22"/>
                <w:szCs w:val="22"/>
              </w:rPr>
              <w:t>-0.383***</w:t>
            </w:r>
          </w:p>
        </w:tc>
        <w:tc>
          <w:tcPr>
            <w:tcW w:w="1680" w:type="dxa"/>
            <w:tcBorders>
              <w:top w:val="single" w:sz="4" w:space="0" w:color="auto"/>
            </w:tcBorders>
            <w:vAlign w:val="bottom"/>
          </w:tcPr>
          <w:p w:rsidR="007124F0" w:rsidRPr="00FD4A39" w:rsidRDefault="007124F0" w:rsidP="0078502E">
            <w:pPr>
              <w:jc w:val="center"/>
              <w:rPr>
                <w:rFonts w:cs="Arial"/>
                <w:sz w:val="22"/>
                <w:szCs w:val="22"/>
              </w:rPr>
            </w:pPr>
          </w:p>
        </w:tc>
      </w:tr>
      <w:tr w:rsidR="007124F0" w:rsidRPr="00FD4A39" w:rsidTr="0078502E">
        <w:trPr>
          <w:trHeight w:val="264"/>
        </w:trPr>
        <w:tc>
          <w:tcPr>
            <w:tcW w:w="2648" w:type="dxa"/>
            <w:noWrap/>
          </w:tcPr>
          <w:p w:rsidR="007124F0" w:rsidRPr="00FD4A39" w:rsidRDefault="007124F0" w:rsidP="0078502E">
            <w:pPr>
              <w:jc w:val="center"/>
              <w:rPr>
                <w:rFonts w:cs="Arial"/>
                <w:i/>
                <w:sz w:val="22"/>
                <w:szCs w:val="22"/>
              </w:rPr>
            </w:pPr>
          </w:p>
        </w:tc>
        <w:tc>
          <w:tcPr>
            <w:tcW w:w="1560" w:type="dxa"/>
            <w:noWrap/>
          </w:tcPr>
          <w:p w:rsidR="007124F0" w:rsidRPr="005527A5" w:rsidRDefault="007124F0" w:rsidP="0078502E">
            <w:pPr>
              <w:jc w:val="center"/>
              <w:rPr>
                <w:sz w:val="22"/>
                <w:szCs w:val="22"/>
              </w:rPr>
            </w:pPr>
            <w:r w:rsidRPr="005527A5">
              <w:rPr>
                <w:sz w:val="22"/>
                <w:szCs w:val="22"/>
              </w:rPr>
              <w:t>(0.083)</w:t>
            </w:r>
          </w:p>
        </w:tc>
        <w:tc>
          <w:tcPr>
            <w:tcW w:w="1680" w:type="dxa"/>
            <w:noWrap/>
          </w:tcPr>
          <w:p w:rsidR="007124F0" w:rsidRPr="00FD4A39" w:rsidRDefault="007124F0" w:rsidP="0078502E">
            <w:pPr>
              <w:jc w:val="center"/>
              <w:rPr>
                <w:rFonts w:cs="Arial"/>
                <w:sz w:val="22"/>
                <w:szCs w:val="22"/>
              </w:rPr>
            </w:pP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r w:rsidRPr="00FD4A39">
              <w:rPr>
                <w:rFonts w:cs="Arial"/>
                <w:sz w:val="22"/>
                <w:szCs w:val="22"/>
              </w:rPr>
              <w:t>(0.100)</w:t>
            </w:r>
          </w:p>
        </w:tc>
        <w:tc>
          <w:tcPr>
            <w:tcW w:w="1680" w:type="dxa"/>
          </w:tcPr>
          <w:p w:rsidR="007124F0" w:rsidRPr="00FD4A39" w:rsidRDefault="007124F0" w:rsidP="0078502E">
            <w:pPr>
              <w:jc w:val="center"/>
              <w:rPr>
                <w:rFonts w:cs="Arial"/>
                <w:sz w:val="22"/>
                <w:szCs w:val="22"/>
              </w:rPr>
            </w:pPr>
          </w:p>
        </w:tc>
      </w:tr>
      <w:tr w:rsidR="007124F0" w:rsidRPr="00FD4A39" w:rsidTr="007124F0">
        <w:trPr>
          <w:trHeight w:val="264"/>
        </w:trPr>
        <w:tc>
          <w:tcPr>
            <w:tcW w:w="2648" w:type="dxa"/>
            <w:noWrap/>
            <w:vAlign w:val="bottom"/>
          </w:tcPr>
          <w:p w:rsidR="007124F0" w:rsidRPr="00FD4A39" w:rsidRDefault="007124F0" w:rsidP="007124F0">
            <w:pPr>
              <w:rPr>
                <w:rFonts w:cs="Arial"/>
                <w:i/>
                <w:sz w:val="22"/>
                <w:szCs w:val="22"/>
              </w:rPr>
            </w:pPr>
            <w:r w:rsidRPr="00FD4A39">
              <w:rPr>
                <w:rFonts w:cs="Arial"/>
                <w:i/>
                <w:sz w:val="22"/>
                <w:szCs w:val="22"/>
              </w:rPr>
              <w:t>SecuredBookLeverage</w:t>
            </w:r>
          </w:p>
        </w:tc>
        <w:tc>
          <w:tcPr>
            <w:tcW w:w="1560" w:type="dxa"/>
            <w:noWrap/>
            <w:vAlign w:val="bottom"/>
          </w:tcPr>
          <w:p w:rsidR="007124F0" w:rsidRPr="005527A5" w:rsidRDefault="007124F0" w:rsidP="007124F0">
            <w:pPr>
              <w:jc w:val="center"/>
              <w:rPr>
                <w:sz w:val="22"/>
                <w:szCs w:val="22"/>
              </w:rPr>
            </w:pPr>
          </w:p>
        </w:tc>
        <w:tc>
          <w:tcPr>
            <w:tcW w:w="1680" w:type="dxa"/>
            <w:noWrap/>
            <w:vAlign w:val="bottom"/>
          </w:tcPr>
          <w:p w:rsidR="007124F0" w:rsidRPr="005527A5" w:rsidRDefault="007124F0" w:rsidP="007124F0">
            <w:pPr>
              <w:jc w:val="center"/>
              <w:rPr>
                <w:sz w:val="22"/>
                <w:szCs w:val="22"/>
              </w:rPr>
            </w:pPr>
            <w:r w:rsidRPr="005527A5">
              <w:rPr>
                <w:sz w:val="22"/>
                <w:szCs w:val="22"/>
              </w:rPr>
              <w:t>-0.120</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-0.205**</w:t>
            </w:r>
          </w:p>
        </w:tc>
      </w:tr>
      <w:tr w:rsidR="007124F0" w:rsidRPr="00FD4A39" w:rsidTr="0078502E">
        <w:trPr>
          <w:trHeight w:val="264"/>
        </w:trPr>
        <w:tc>
          <w:tcPr>
            <w:tcW w:w="2648" w:type="dxa"/>
            <w:noWrap/>
          </w:tcPr>
          <w:p w:rsidR="007124F0" w:rsidRPr="00FD4A39" w:rsidRDefault="007124F0" w:rsidP="0078502E">
            <w:pPr>
              <w:jc w:val="center"/>
              <w:rPr>
                <w:rFonts w:cs="Arial"/>
                <w:i/>
                <w:sz w:val="22"/>
                <w:szCs w:val="22"/>
              </w:rPr>
            </w:pPr>
          </w:p>
        </w:tc>
        <w:tc>
          <w:tcPr>
            <w:tcW w:w="1560" w:type="dxa"/>
            <w:noWrap/>
          </w:tcPr>
          <w:p w:rsidR="007124F0" w:rsidRPr="005527A5" w:rsidRDefault="007124F0" w:rsidP="0078502E">
            <w:pPr>
              <w:jc w:val="center"/>
              <w:rPr>
                <w:sz w:val="22"/>
                <w:szCs w:val="22"/>
              </w:rPr>
            </w:pPr>
          </w:p>
        </w:tc>
        <w:tc>
          <w:tcPr>
            <w:tcW w:w="1680" w:type="dxa"/>
            <w:noWrap/>
          </w:tcPr>
          <w:p w:rsidR="007124F0" w:rsidRPr="005527A5" w:rsidRDefault="007124F0" w:rsidP="0078502E">
            <w:pPr>
              <w:jc w:val="center"/>
              <w:rPr>
                <w:sz w:val="22"/>
                <w:szCs w:val="22"/>
              </w:rPr>
            </w:pPr>
            <w:r w:rsidRPr="005527A5">
              <w:rPr>
                <w:sz w:val="22"/>
                <w:szCs w:val="22"/>
              </w:rPr>
              <w:t>(0.077)</w:t>
            </w: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p>
        </w:tc>
        <w:tc>
          <w:tcPr>
            <w:tcW w:w="1680" w:type="dxa"/>
          </w:tcPr>
          <w:p w:rsidR="007124F0" w:rsidRPr="00FD4A39" w:rsidRDefault="007124F0" w:rsidP="0078502E">
            <w:pPr>
              <w:jc w:val="center"/>
              <w:rPr>
                <w:rFonts w:cs="Arial"/>
                <w:sz w:val="22"/>
                <w:szCs w:val="22"/>
              </w:rPr>
            </w:pPr>
            <w:r w:rsidRPr="00FD4A39">
              <w:rPr>
                <w:rFonts w:cs="Arial"/>
                <w:sz w:val="22"/>
                <w:szCs w:val="22"/>
              </w:rPr>
              <w:t>(0.098)</w:t>
            </w:r>
          </w:p>
        </w:tc>
      </w:tr>
      <w:tr w:rsidR="007124F0" w:rsidRPr="00FD4A39" w:rsidTr="007124F0">
        <w:trPr>
          <w:trHeight w:val="264"/>
        </w:trPr>
        <w:tc>
          <w:tcPr>
            <w:tcW w:w="2648" w:type="dxa"/>
            <w:noWrap/>
            <w:vAlign w:val="bottom"/>
          </w:tcPr>
          <w:p w:rsidR="007124F0" w:rsidRPr="00FD4A39" w:rsidRDefault="007124F0" w:rsidP="007124F0">
            <w:pPr>
              <w:rPr>
                <w:rFonts w:cs="Arial"/>
                <w:i/>
                <w:sz w:val="22"/>
                <w:szCs w:val="22"/>
              </w:rPr>
            </w:pPr>
            <w:r w:rsidRPr="00FD4A39">
              <w:rPr>
                <w:rFonts w:cs="Arial"/>
                <w:i/>
                <w:sz w:val="22"/>
                <w:szCs w:val="22"/>
              </w:rPr>
              <w:t>EarningsChange</w:t>
            </w:r>
          </w:p>
        </w:tc>
        <w:tc>
          <w:tcPr>
            <w:tcW w:w="1560" w:type="dxa"/>
            <w:noWrap/>
            <w:vAlign w:val="bottom"/>
          </w:tcPr>
          <w:p w:rsidR="007124F0" w:rsidRPr="005527A5" w:rsidRDefault="007124F0" w:rsidP="007124F0">
            <w:pPr>
              <w:jc w:val="center"/>
              <w:rPr>
                <w:sz w:val="22"/>
                <w:szCs w:val="22"/>
              </w:rPr>
            </w:pPr>
            <w:r w:rsidRPr="005527A5">
              <w:rPr>
                <w:sz w:val="22"/>
                <w:szCs w:val="22"/>
              </w:rPr>
              <w:t>1.447***</w:t>
            </w:r>
          </w:p>
        </w:tc>
        <w:tc>
          <w:tcPr>
            <w:tcW w:w="1680" w:type="dxa"/>
            <w:noWrap/>
            <w:vAlign w:val="bottom"/>
          </w:tcPr>
          <w:p w:rsidR="007124F0" w:rsidRPr="005527A5" w:rsidRDefault="007124F0" w:rsidP="007124F0">
            <w:pPr>
              <w:jc w:val="center"/>
              <w:rPr>
                <w:sz w:val="22"/>
                <w:szCs w:val="22"/>
              </w:rPr>
            </w:pPr>
            <w:r w:rsidRPr="005527A5">
              <w:rPr>
                <w:sz w:val="22"/>
                <w:szCs w:val="22"/>
              </w:rPr>
              <w:t>1.604***</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r w:rsidRPr="00FD4A39">
              <w:rPr>
                <w:rFonts w:cs="Arial"/>
                <w:sz w:val="22"/>
                <w:szCs w:val="22"/>
              </w:rPr>
              <w:t>0.602*</w:t>
            </w: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0.779**</w:t>
            </w:r>
          </w:p>
        </w:tc>
      </w:tr>
      <w:tr w:rsidR="007124F0" w:rsidRPr="00FD4A39" w:rsidTr="0078502E">
        <w:trPr>
          <w:trHeight w:val="264"/>
        </w:trPr>
        <w:tc>
          <w:tcPr>
            <w:tcW w:w="2648" w:type="dxa"/>
            <w:noWrap/>
          </w:tcPr>
          <w:p w:rsidR="007124F0" w:rsidRPr="00FD4A39" w:rsidRDefault="007124F0" w:rsidP="0078502E">
            <w:pPr>
              <w:jc w:val="center"/>
              <w:rPr>
                <w:rFonts w:cs="Arial"/>
                <w:i/>
                <w:sz w:val="22"/>
                <w:szCs w:val="22"/>
              </w:rPr>
            </w:pPr>
          </w:p>
        </w:tc>
        <w:tc>
          <w:tcPr>
            <w:tcW w:w="1560" w:type="dxa"/>
            <w:noWrap/>
          </w:tcPr>
          <w:p w:rsidR="007124F0" w:rsidRPr="005527A5" w:rsidRDefault="007124F0" w:rsidP="0078502E">
            <w:pPr>
              <w:jc w:val="center"/>
              <w:rPr>
                <w:sz w:val="22"/>
                <w:szCs w:val="22"/>
              </w:rPr>
            </w:pPr>
            <w:r w:rsidRPr="005527A5">
              <w:rPr>
                <w:sz w:val="22"/>
                <w:szCs w:val="22"/>
              </w:rPr>
              <w:t>(0.315)</w:t>
            </w:r>
          </w:p>
        </w:tc>
        <w:tc>
          <w:tcPr>
            <w:tcW w:w="1680" w:type="dxa"/>
            <w:noWrap/>
          </w:tcPr>
          <w:p w:rsidR="007124F0" w:rsidRPr="005527A5" w:rsidRDefault="007124F0" w:rsidP="0078502E">
            <w:pPr>
              <w:jc w:val="center"/>
              <w:rPr>
                <w:sz w:val="22"/>
                <w:szCs w:val="22"/>
              </w:rPr>
            </w:pPr>
            <w:r w:rsidRPr="005527A5">
              <w:rPr>
                <w:sz w:val="22"/>
                <w:szCs w:val="22"/>
              </w:rPr>
              <w:t>(0.343)</w:t>
            </w: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r w:rsidRPr="00FD4A39">
              <w:rPr>
                <w:rFonts w:cs="Arial"/>
                <w:sz w:val="22"/>
                <w:szCs w:val="22"/>
              </w:rPr>
              <w:t>(0.349)</w:t>
            </w:r>
          </w:p>
        </w:tc>
        <w:tc>
          <w:tcPr>
            <w:tcW w:w="1680" w:type="dxa"/>
          </w:tcPr>
          <w:p w:rsidR="007124F0" w:rsidRPr="00FD4A39" w:rsidRDefault="007124F0" w:rsidP="0078502E">
            <w:pPr>
              <w:jc w:val="center"/>
              <w:rPr>
                <w:rFonts w:cs="Arial"/>
                <w:sz w:val="22"/>
                <w:szCs w:val="22"/>
              </w:rPr>
            </w:pPr>
            <w:r w:rsidRPr="00FD4A39">
              <w:rPr>
                <w:rFonts w:cs="Arial"/>
                <w:sz w:val="22"/>
                <w:szCs w:val="22"/>
              </w:rPr>
              <w:t>(0.380)</w:t>
            </w:r>
          </w:p>
        </w:tc>
      </w:tr>
      <w:tr w:rsidR="007124F0" w:rsidRPr="00FD4A39" w:rsidTr="007124F0">
        <w:trPr>
          <w:trHeight w:val="264"/>
        </w:trPr>
        <w:tc>
          <w:tcPr>
            <w:tcW w:w="2648" w:type="dxa"/>
            <w:noWrap/>
            <w:vAlign w:val="bottom"/>
          </w:tcPr>
          <w:p w:rsidR="007124F0" w:rsidRPr="00FD4A39" w:rsidRDefault="007124F0" w:rsidP="007124F0">
            <w:pPr>
              <w:rPr>
                <w:rFonts w:cs="Arial"/>
                <w:i/>
                <w:sz w:val="22"/>
                <w:szCs w:val="22"/>
              </w:rPr>
            </w:pPr>
            <w:r w:rsidRPr="00FD4A39">
              <w:rPr>
                <w:rFonts w:cs="Arial"/>
                <w:i/>
                <w:sz w:val="22"/>
                <w:szCs w:val="22"/>
              </w:rPr>
              <w:t>Size</w:t>
            </w:r>
          </w:p>
        </w:tc>
        <w:tc>
          <w:tcPr>
            <w:tcW w:w="1560" w:type="dxa"/>
            <w:noWrap/>
            <w:vAlign w:val="bottom"/>
          </w:tcPr>
          <w:p w:rsidR="007124F0" w:rsidRPr="005527A5" w:rsidRDefault="007124F0" w:rsidP="007124F0">
            <w:pPr>
              <w:jc w:val="center"/>
              <w:rPr>
                <w:sz w:val="22"/>
                <w:szCs w:val="22"/>
              </w:rPr>
            </w:pPr>
            <w:r w:rsidRPr="005527A5">
              <w:rPr>
                <w:sz w:val="22"/>
                <w:szCs w:val="22"/>
              </w:rPr>
              <w:t>0.008</w:t>
            </w:r>
          </w:p>
        </w:tc>
        <w:tc>
          <w:tcPr>
            <w:tcW w:w="1680" w:type="dxa"/>
            <w:noWrap/>
            <w:vAlign w:val="bottom"/>
          </w:tcPr>
          <w:p w:rsidR="007124F0" w:rsidRPr="005527A5" w:rsidRDefault="007124F0" w:rsidP="007124F0">
            <w:pPr>
              <w:jc w:val="center"/>
              <w:rPr>
                <w:sz w:val="22"/>
                <w:szCs w:val="22"/>
              </w:rPr>
            </w:pPr>
            <w:r w:rsidRPr="005527A5">
              <w:rPr>
                <w:sz w:val="22"/>
                <w:szCs w:val="22"/>
              </w:rPr>
              <w:t>0.025*</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r w:rsidRPr="00FD4A39">
              <w:rPr>
                <w:rFonts w:cs="Arial"/>
                <w:sz w:val="22"/>
                <w:szCs w:val="22"/>
              </w:rPr>
              <w:t>-0.032</w:t>
            </w: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-0.025</w:t>
            </w:r>
          </w:p>
        </w:tc>
      </w:tr>
      <w:tr w:rsidR="007124F0" w:rsidRPr="00FD4A39" w:rsidTr="0078502E">
        <w:trPr>
          <w:trHeight w:val="264"/>
        </w:trPr>
        <w:tc>
          <w:tcPr>
            <w:tcW w:w="2648" w:type="dxa"/>
            <w:noWrap/>
          </w:tcPr>
          <w:p w:rsidR="007124F0" w:rsidRPr="00FD4A39" w:rsidRDefault="007124F0" w:rsidP="0078502E">
            <w:pPr>
              <w:jc w:val="center"/>
              <w:rPr>
                <w:rFonts w:cs="Arial"/>
                <w:i/>
                <w:sz w:val="22"/>
                <w:szCs w:val="22"/>
              </w:rPr>
            </w:pPr>
          </w:p>
        </w:tc>
        <w:tc>
          <w:tcPr>
            <w:tcW w:w="1560" w:type="dxa"/>
            <w:noWrap/>
          </w:tcPr>
          <w:p w:rsidR="007124F0" w:rsidRPr="005527A5" w:rsidRDefault="007124F0" w:rsidP="0078502E">
            <w:pPr>
              <w:jc w:val="center"/>
              <w:rPr>
                <w:sz w:val="22"/>
                <w:szCs w:val="22"/>
              </w:rPr>
            </w:pPr>
            <w:r w:rsidRPr="005527A5">
              <w:rPr>
                <w:sz w:val="22"/>
                <w:szCs w:val="22"/>
              </w:rPr>
              <w:t>(0.016)</w:t>
            </w:r>
          </w:p>
        </w:tc>
        <w:tc>
          <w:tcPr>
            <w:tcW w:w="1680" w:type="dxa"/>
            <w:noWrap/>
          </w:tcPr>
          <w:p w:rsidR="007124F0" w:rsidRPr="005527A5" w:rsidRDefault="007124F0" w:rsidP="0078502E">
            <w:pPr>
              <w:jc w:val="center"/>
              <w:rPr>
                <w:sz w:val="22"/>
                <w:szCs w:val="22"/>
              </w:rPr>
            </w:pPr>
            <w:r w:rsidRPr="005527A5">
              <w:rPr>
                <w:sz w:val="22"/>
                <w:szCs w:val="22"/>
              </w:rPr>
              <w:t>(0.014)</w:t>
            </w: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r w:rsidRPr="00FD4A39">
              <w:rPr>
                <w:rFonts w:cs="Arial"/>
                <w:sz w:val="22"/>
                <w:szCs w:val="22"/>
              </w:rPr>
              <w:t>(0.030)</w:t>
            </w:r>
          </w:p>
        </w:tc>
        <w:tc>
          <w:tcPr>
            <w:tcW w:w="1680" w:type="dxa"/>
          </w:tcPr>
          <w:p w:rsidR="007124F0" w:rsidRPr="00FD4A39" w:rsidRDefault="007124F0" w:rsidP="0078502E">
            <w:pPr>
              <w:jc w:val="center"/>
              <w:rPr>
                <w:rFonts w:cs="Arial"/>
                <w:sz w:val="22"/>
                <w:szCs w:val="22"/>
              </w:rPr>
            </w:pPr>
            <w:r w:rsidRPr="00FD4A39">
              <w:rPr>
                <w:rFonts w:cs="Arial"/>
                <w:sz w:val="22"/>
                <w:szCs w:val="22"/>
              </w:rPr>
              <w:t>(0.030)</w:t>
            </w:r>
          </w:p>
        </w:tc>
      </w:tr>
      <w:tr w:rsidR="007124F0" w:rsidRPr="00FD4A39" w:rsidTr="007124F0">
        <w:trPr>
          <w:trHeight w:val="264"/>
        </w:trPr>
        <w:tc>
          <w:tcPr>
            <w:tcW w:w="2648" w:type="dxa"/>
            <w:noWrap/>
            <w:vAlign w:val="bottom"/>
          </w:tcPr>
          <w:p w:rsidR="007124F0" w:rsidRPr="00FD4A39" w:rsidRDefault="007124F0" w:rsidP="007124F0">
            <w:pPr>
              <w:rPr>
                <w:rFonts w:cs="Arial"/>
                <w:i/>
                <w:sz w:val="22"/>
                <w:szCs w:val="22"/>
              </w:rPr>
            </w:pPr>
            <w:r w:rsidRPr="00FD4A39">
              <w:rPr>
                <w:rFonts w:cs="Arial"/>
                <w:i/>
                <w:sz w:val="22"/>
                <w:szCs w:val="22"/>
              </w:rPr>
              <w:t>Profitability</w:t>
            </w:r>
          </w:p>
        </w:tc>
        <w:tc>
          <w:tcPr>
            <w:tcW w:w="1560" w:type="dxa"/>
            <w:noWrap/>
            <w:vAlign w:val="bottom"/>
          </w:tcPr>
          <w:p w:rsidR="007124F0" w:rsidRPr="005527A5" w:rsidRDefault="007124F0" w:rsidP="007124F0">
            <w:pPr>
              <w:jc w:val="center"/>
              <w:rPr>
                <w:sz w:val="22"/>
                <w:szCs w:val="22"/>
              </w:rPr>
            </w:pPr>
            <w:r w:rsidRPr="005527A5">
              <w:rPr>
                <w:sz w:val="22"/>
                <w:szCs w:val="22"/>
              </w:rPr>
              <w:t>3.145***</w:t>
            </w:r>
          </w:p>
        </w:tc>
        <w:tc>
          <w:tcPr>
            <w:tcW w:w="1680" w:type="dxa"/>
            <w:noWrap/>
            <w:vAlign w:val="bottom"/>
          </w:tcPr>
          <w:p w:rsidR="007124F0" w:rsidRPr="005527A5" w:rsidRDefault="007124F0" w:rsidP="007124F0">
            <w:pPr>
              <w:jc w:val="center"/>
              <w:rPr>
                <w:sz w:val="22"/>
                <w:szCs w:val="22"/>
              </w:rPr>
            </w:pPr>
            <w:r w:rsidRPr="005527A5">
              <w:rPr>
                <w:sz w:val="22"/>
                <w:szCs w:val="22"/>
              </w:rPr>
              <w:t>3.364***</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r w:rsidRPr="00FD4A39">
              <w:rPr>
                <w:rFonts w:cs="Arial"/>
                <w:sz w:val="22"/>
                <w:szCs w:val="22"/>
              </w:rPr>
              <w:t>4.956***</w:t>
            </w: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5.640***</w:t>
            </w:r>
          </w:p>
        </w:tc>
      </w:tr>
      <w:tr w:rsidR="007124F0" w:rsidRPr="00FD4A39" w:rsidTr="0078502E">
        <w:trPr>
          <w:trHeight w:val="264"/>
        </w:trPr>
        <w:tc>
          <w:tcPr>
            <w:tcW w:w="2648" w:type="dxa"/>
            <w:noWrap/>
          </w:tcPr>
          <w:p w:rsidR="007124F0" w:rsidRPr="00FD4A39" w:rsidRDefault="007124F0" w:rsidP="0078502E">
            <w:pPr>
              <w:jc w:val="center"/>
              <w:rPr>
                <w:rFonts w:cs="Arial"/>
                <w:i/>
                <w:sz w:val="22"/>
                <w:szCs w:val="22"/>
              </w:rPr>
            </w:pPr>
          </w:p>
        </w:tc>
        <w:tc>
          <w:tcPr>
            <w:tcW w:w="1560" w:type="dxa"/>
            <w:noWrap/>
          </w:tcPr>
          <w:p w:rsidR="007124F0" w:rsidRPr="005527A5" w:rsidRDefault="007124F0" w:rsidP="0078502E">
            <w:pPr>
              <w:jc w:val="center"/>
              <w:rPr>
                <w:sz w:val="22"/>
                <w:szCs w:val="22"/>
              </w:rPr>
            </w:pPr>
            <w:r w:rsidRPr="005527A5">
              <w:rPr>
                <w:sz w:val="22"/>
                <w:szCs w:val="22"/>
              </w:rPr>
              <w:t>(0.655)</w:t>
            </w:r>
          </w:p>
        </w:tc>
        <w:tc>
          <w:tcPr>
            <w:tcW w:w="1680" w:type="dxa"/>
            <w:noWrap/>
          </w:tcPr>
          <w:p w:rsidR="007124F0" w:rsidRPr="005527A5" w:rsidRDefault="007124F0" w:rsidP="0078502E">
            <w:pPr>
              <w:jc w:val="center"/>
              <w:rPr>
                <w:sz w:val="22"/>
                <w:szCs w:val="22"/>
              </w:rPr>
            </w:pPr>
            <w:r w:rsidRPr="005527A5">
              <w:rPr>
                <w:sz w:val="22"/>
                <w:szCs w:val="22"/>
              </w:rPr>
              <w:t>(0.711)</w:t>
            </w: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r w:rsidRPr="00FD4A39">
              <w:rPr>
                <w:rFonts w:cs="Arial"/>
                <w:sz w:val="22"/>
                <w:szCs w:val="22"/>
              </w:rPr>
              <w:t>(1.380)</w:t>
            </w:r>
          </w:p>
        </w:tc>
        <w:tc>
          <w:tcPr>
            <w:tcW w:w="1680" w:type="dxa"/>
          </w:tcPr>
          <w:p w:rsidR="007124F0" w:rsidRPr="00FD4A39" w:rsidRDefault="007124F0" w:rsidP="0078502E">
            <w:pPr>
              <w:jc w:val="center"/>
              <w:rPr>
                <w:rFonts w:cs="Arial"/>
                <w:sz w:val="22"/>
                <w:szCs w:val="22"/>
              </w:rPr>
            </w:pPr>
            <w:r w:rsidRPr="00FD4A39">
              <w:rPr>
                <w:rFonts w:cs="Arial"/>
                <w:sz w:val="22"/>
                <w:szCs w:val="22"/>
              </w:rPr>
              <w:t>(1.363)</w:t>
            </w:r>
          </w:p>
        </w:tc>
      </w:tr>
      <w:tr w:rsidR="007124F0" w:rsidRPr="00FD4A39" w:rsidTr="007124F0">
        <w:trPr>
          <w:trHeight w:val="264"/>
        </w:trPr>
        <w:tc>
          <w:tcPr>
            <w:tcW w:w="2648" w:type="dxa"/>
            <w:noWrap/>
            <w:vAlign w:val="bottom"/>
          </w:tcPr>
          <w:p w:rsidR="007124F0" w:rsidRPr="00FD4A39" w:rsidRDefault="007124F0" w:rsidP="007124F0">
            <w:pPr>
              <w:rPr>
                <w:rFonts w:cs="Arial"/>
                <w:i/>
                <w:sz w:val="22"/>
                <w:szCs w:val="22"/>
              </w:rPr>
            </w:pPr>
            <w:r w:rsidRPr="00FD4A39">
              <w:rPr>
                <w:rFonts w:cs="Arial"/>
                <w:i/>
                <w:sz w:val="22"/>
                <w:szCs w:val="22"/>
              </w:rPr>
              <w:t>EarningsVolatility</w:t>
            </w:r>
          </w:p>
        </w:tc>
        <w:tc>
          <w:tcPr>
            <w:tcW w:w="1560" w:type="dxa"/>
            <w:noWrap/>
            <w:vAlign w:val="bottom"/>
          </w:tcPr>
          <w:p w:rsidR="007124F0" w:rsidRPr="005527A5" w:rsidRDefault="007124F0" w:rsidP="007124F0">
            <w:pPr>
              <w:jc w:val="center"/>
              <w:rPr>
                <w:sz w:val="22"/>
                <w:szCs w:val="22"/>
              </w:rPr>
            </w:pPr>
            <w:r w:rsidRPr="005527A5">
              <w:rPr>
                <w:sz w:val="22"/>
                <w:szCs w:val="22"/>
              </w:rPr>
              <w:t>0.514</w:t>
            </w:r>
          </w:p>
        </w:tc>
        <w:tc>
          <w:tcPr>
            <w:tcW w:w="1680" w:type="dxa"/>
            <w:noWrap/>
            <w:vAlign w:val="bottom"/>
          </w:tcPr>
          <w:p w:rsidR="007124F0" w:rsidRPr="005527A5" w:rsidRDefault="007124F0" w:rsidP="007124F0">
            <w:pPr>
              <w:jc w:val="center"/>
              <w:rPr>
                <w:sz w:val="22"/>
                <w:szCs w:val="22"/>
              </w:rPr>
            </w:pPr>
            <w:r w:rsidRPr="005527A5">
              <w:rPr>
                <w:sz w:val="22"/>
                <w:szCs w:val="22"/>
              </w:rPr>
              <w:t>0.618</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r w:rsidRPr="00FD4A39">
              <w:rPr>
                <w:rFonts w:cs="Arial"/>
                <w:sz w:val="22"/>
                <w:szCs w:val="22"/>
              </w:rPr>
              <w:t>-0.619</w:t>
            </w: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-0.523</w:t>
            </w:r>
          </w:p>
        </w:tc>
      </w:tr>
      <w:tr w:rsidR="007124F0" w:rsidRPr="00FD4A39" w:rsidTr="0078502E">
        <w:trPr>
          <w:trHeight w:val="264"/>
        </w:trPr>
        <w:tc>
          <w:tcPr>
            <w:tcW w:w="2648" w:type="dxa"/>
            <w:noWrap/>
          </w:tcPr>
          <w:p w:rsidR="007124F0" w:rsidRPr="00FD4A39" w:rsidRDefault="007124F0" w:rsidP="0078502E">
            <w:pPr>
              <w:jc w:val="center"/>
              <w:rPr>
                <w:rFonts w:cs="Arial"/>
                <w:i/>
                <w:sz w:val="22"/>
                <w:szCs w:val="22"/>
              </w:rPr>
            </w:pPr>
          </w:p>
        </w:tc>
        <w:tc>
          <w:tcPr>
            <w:tcW w:w="1560" w:type="dxa"/>
            <w:noWrap/>
          </w:tcPr>
          <w:p w:rsidR="007124F0" w:rsidRPr="005527A5" w:rsidRDefault="007124F0" w:rsidP="0078502E">
            <w:pPr>
              <w:jc w:val="center"/>
              <w:rPr>
                <w:sz w:val="22"/>
                <w:szCs w:val="22"/>
              </w:rPr>
            </w:pPr>
            <w:r w:rsidRPr="005527A5">
              <w:rPr>
                <w:sz w:val="22"/>
                <w:szCs w:val="22"/>
              </w:rPr>
              <w:t>(0.787)</w:t>
            </w:r>
          </w:p>
        </w:tc>
        <w:tc>
          <w:tcPr>
            <w:tcW w:w="1680" w:type="dxa"/>
            <w:noWrap/>
          </w:tcPr>
          <w:p w:rsidR="007124F0" w:rsidRPr="005527A5" w:rsidRDefault="007124F0" w:rsidP="0078502E">
            <w:pPr>
              <w:jc w:val="center"/>
              <w:rPr>
                <w:sz w:val="22"/>
                <w:szCs w:val="22"/>
              </w:rPr>
            </w:pPr>
            <w:r w:rsidRPr="005527A5">
              <w:rPr>
                <w:sz w:val="22"/>
                <w:szCs w:val="22"/>
              </w:rPr>
              <w:t>(0.835)</w:t>
            </w: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r w:rsidRPr="00FD4A39">
              <w:rPr>
                <w:rFonts w:cs="Arial"/>
                <w:sz w:val="22"/>
                <w:szCs w:val="22"/>
              </w:rPr>
              <w:t>(1.552)</w:t>
            </w:r>
          </w:p>
        </w:tc>
        <w:tc>
          <w:tcPr>
            <w:tcW w:w="1680" w:type="dxa"/>
          </w:tcPr>
          <w:p w:rsidR="007124F0" w:rsidRPr="00FD4A39" w:rsidRDefault="007124F0" w:rsidP="0078502E">
            <w:pPr>
              <w:jc w:val="center"/>
              <w:rPr>
                <w:rFonts w:cs="Arial"/>
                <w:sz w:val="22"/>
                <w:szCs w:val="22"/>
              </w:rPr>
            </w:pPr>
            <w:r w:rsidRPr="00FD4A39">
              <w:rPr>
                <w:rFonts w:cs="Arial"/>
                <w:sz w:val="22"/>
                <w:szCs w:val="22"/>
              </w:rPr>
              <w:t>(1.389)</w:t>
            </w:r>
          </w:p>
        </w:tc>
      </w:tr>
      <w:tr w:rsidR="007124F0" w:rsidRPr="00FD4A39" w:rsidTr="007124F0">
        <w:trPr>
          <w:trHeight w:val="264"/>
        </w:trPr>
        <w:tc>
          <w:tcPr>
            <w:tcW w:w="2648" w:type="dxa"/>
            <w:noWrap/>
            <w:vAlign w:val="bottom"/>
          </w:tcPr>
          <w:p w:rsidR="007124F0" w:rsidRPr="00FD4A39" w:rsidRDefault="007124F0" w:rsidP="007124F0">
            <w:pPr>
              <w:rPr>
                <w:rFonts w:cs="Arial"/>
                <w:i/>
                <w:sz w:val="22"/>
                <w:szCs w:val="22"/>
              </w:rPr>
            </w:pPr>
            <w:r w:rsidRPr="00FD4A39">
              <w:rPr>
                <w:rFonts w:cs="Arial"/>
                <w:i/>
                <w:sz w:val="22"/>
                <w:szCs w:val="22"/>
              </w:rPr>
              <w:t>FirmAge</w:t>
            </w:r>
          </w:p>
        </w:tc>
        <w:tc>
          <w:tcPr>
            <w:tcW w:w="1560" w:type="dxa"/>
            <w:noWrap/>
            <w:vAlign w:val="bottom"/>
          </w:tcPr>
          <w:p w:rsidR="007124F0" w:rsidRPr="005527A5" w:rsidRDefault="007124F0" w:rsidP="007124F0">
            <w:pPr>
              <w:jc w:val="center"/>
              <w:rPr>
                <w:sz w:val="22"/>
                <w:szCs w:val="22"/>
              </w:rPr>
            </w:pPr>
            <w:r w:rsidRPr="005527A5">
              <w:rPr>
                <w:sz w:val="22"/>
                <w:szCs w:val="22"/>
              </w:rPr>
              <w:t>-0.006</w:t>
            </w:r>
          </w:p>
        </w:tc>
        <w:tc>
          <w:tcPr>
            <w:tcW w:w="1680" w:type="dxa"/>
            <w:noWrap/>
            <w:vAlign w:val="bottom"/>
          </w:tcPr>
          <w:p w:rsidR="007124F0" w:rsidRPr="005527A5" w:rsidRDefault="007124F0" w:rsidP="007124F0">
            <w:pPr>
              <w:jc w:val="center"/>
              <w:rPr>
                <w:sz w:val="22"/>
                <w:szCs w:val="22"/>
              </w:rPr>
            </w:pPr>
            <w:r w:rsidRPr="005527A5">
              <w:rPr>
                <w:sz w:val="22"/>
                <w:szCs w:val="22"/>
              </w:rPr>
              <w:t>-0.001</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r w:rsidRPr="00FD4A39">
              <w:rPr>
                <w:rFonts w:cs="Arial"/>
                <w:sz w:val="22"/>
                <w:szCs w:val="22"/>
              </w:rPr>
              <w:t>-0.018</w:t>
            </w: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-0.023</w:t>
            </w:r>
          </w:p>
        </w:tc>
      </w:tr>
      <w:tr w:rsidR="007124F0" w:rsidRPr="00FD4A39" w:rsidTr="0078502E">
        <w:trPr>
          <w:trHeight w:val="264"/>
        </w:trPr>
        <w:tc>
          <w:tcPr>
            <w:tcW w:w="2648" w:type="dxa"/>
            <w:noWrap/>
          </w:tcPr>
          <w:p w:rsidR="007124F0" w:rsidRPr="00FD4A39" w:rsidRDefault="007124F0" w:rsidP="0078502E">
            <w:pPr>
              <w:jc w:val="center"/>
              <w:rPr>
                <w:rFonts w:cs="Arial"/>
                <w:sz w:val="22"/>
                <w:szCs w:val="22"/>
              </w:rPr>
            </w:pPr>
          </w:p>
        </w:tc>
        <w:tc>
          <w:tcPr>
            <w:tcW w:w="1560" w:type="dxa"/>
            <w:noWrap/>
          </w:tcPr>
          <w:p w:rsidR="007124F0" w:rsidRPr="005527A5" w:rsidRDefault="007124F0" w:rsidP="0078502E">
            <w:pPr>
              <w:jc w:val="center"/>
              <w:rPr>
                <w:sz w:val="22"/>
                <w:szCs w:val="22"/>
              </w:rPr>
            </w:pPr>
            <w:r w:rsidRPr="005527A5">
              <w:rPr>
                <w:sz w:val="22"/>
                <w:szCs w:val="22"/>
              </w:rPr>
              <w:t>(0.013)</w:t>
            </w:r>
          </w:p>
        </w:tc>
        <w:tc>
          <w:tcPr>
            <w:tcW w:w="1680" w:type="dxa"/>
            <w:noWrap/>
          </w:tcPr>
          <w:p w:rsidR="007124F0" w:rsidRPr="005527A5" w:rsidRDefault="007124F0" w:rsidP="0078502E">
            <w:pPr>
              <w:jc w:val="center"/>
              <w:rPr>
                <w:sz w:val="22"/>
                <w:szCs w:val="22"/>
              </w:rPr>
            </w:pPr>
            <w:r w:rsidRPr="005527A5">
              <w:rPr>
                <w:sz w:val="22"/>
                <w:szCs w:val="22"/>
              </w:rPr>
              <w:t>(0.014)</w:t>
            </w:r>
          </w:p>
        </w:tc>
        <w:tc>
          <w:tcPr>
            <w:tcW w:w="360" w:type="dxa"/>
          </w:tcPr>
          <w:p w:rsidR="007124F0" w:rsidRPr="00FD4A39" w:rsidRDefault="007124F0" w:rsidP="0078502E">
            <w:pPr>
              <w:jc w:val="center"/>
              <w:rPr>
                <w:rFonts w:cs="Arial"/>
                <w:sz w:val="22"/>
                <w:szCs w:val="22"/>
              </w:rPr>
            </w:pPr>
          </w:p>
        </w:tc>
        <w:tc>
          <w:tcPr>
            <w:tcW w:w="1440" w:type="dxa"/>
          </w:tcPr>
          <w:p w:rsidR="007124F0" w:rsidRPr="00FD4A39" w:rsidRDefault="007124F0" w:rsidP="0078502E">
            <w:pPr>
              <w:jc w:val="center"/>
              <w:rPr>
                <w:rFonts w:cs="Arial"/>
                <w:sz w:val="22"/>
                <w:szCs w:val="22"/>
              </w:rPr>
            </w:pPr>
            <w:r w:rsidRPr="00FD4A39">
              <w:rPr>
                <w:rFonts w:cs="Arial"/>
                <w:sz w:val="22"/>
                <w:szCs w:val="22"/>
              </w:rPr>
              <w:t>(0.022)</w:t>
            </w:r>
          </w:p>
        </w:tc>
        <w:tc>
          <w:tcPr>
            <w:tcW w:w="1680" w:type="dxa"/>
          </w:tcPr>
          <w:p w:rsidR="007124F0" w:rsidRPr="00FD4A39" w:rsidRDefault="007124F0" w:rsidP="0078502E">
            <w:pPr>
              <w:jc w:val="center"/>
              <w:rPr>
                <w:rFonts w:cs="Arial"/>
                <w:sz w:val="22"/>
                <w:szCs w:val="22"/>
              </w:rPr>
            </w:pPr>
            <w:r w:rsidRPr="00FD4A39">
              <w:rPr>
                <w:rFonts w:cs="Arial"/>
                <w:sz w:val="22"/>
                <w:szCs w:val="22"/>
              </w:rPr>
              <w:t>(0.024)</w:t>
            </w:r>
          </w:p>
        </w:tc>
      </w:tr>
      <w:tr w:rsidR="007124F0" w:rsidRPr="00FD4A39" w:rsidTr="007124F0">
        <w:trPr>
          <w:trHeight w:val="264"/>
        </w:trPr>
        <w:tc>
          <w:tcPr>
            <w:tcW w:w="2648" w:type="dxa"/>
            <w:tcBorders>
              <w:bottom w:val="single" w:sz="8" w:space="0" w:color="auto"/>
            </w:tcBorders>
            <w:noWrap/>
            <w:vAlign w:val="bottom"/>
          </w:tcPr>
          <w:p w:rsidR="007124F0" w:rsidRPr="00FD4A39" w:rsidRDefault="007124F0" w:rsidP="007124F0">
            <w:pPr>
              <w:rPr>
                <w:rFonts w:cs="Arial"/>
                <w:sz w:val="22"/>
                <w:szCs w:val="22"/>
              </w:rPr>
            </w:pPr>
          </w:p>
        </w:tc>
        <w:tc>
          <w:tcPr>
            <w:tcW w:w="1560"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680"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360" w:type="dxa"/>
            <w:tcBorders>
              <w:bottom w:val="single" w:sz="8" w:space="0" w:color="auto"/>
            </w:tcBorders>
          </w:tcPr>
          <w:p w:rsidR="007124F0" w:rsidRPr="00FD4A39" w:rsidRDefault="007124F0" w:rsidP="007124F0">
            <w:pPr>
              <w:jc w:val="center"/>
              <w:rPr>
                <w:rFonts w:cs="Arial"/>
                <w:sz w:val="22"/>
                <w:szCs w:val="22"/>
              </w:rPr>
            </w:pPr>
          </w:p>
        </w:tc>
        <w:tc>
          <w:tcPr>
            <w:tcW w:w="1440" w:type="dxa"/>
            <w:tcBorders>
              <w:bottom w:val="single" w:sz="8" w:space="0" w:color="auto"/>
            </w:tcBorders>
            <w:vAlign w:val="bottom"/>
          </w:tcPr>
          <w:p w:rsidR="007124F0" w:rsidRPr="00FD4A39" w:rsidRDefault="007124F0" w:rsidP="007124F0">
            <w:pPr>
              <w:jc w:val="center"/>
              <w:rPr>
                <w:rFonts w:cs="Arial"/>
                <w:sz w:val="22"/>
                <w:szCs w:val="22"/>
              </w:rPr>
            </w:pPr>
          </w:p>
        </w:tc>
        <w:tc>
          <w:tcPr>
            <w:tcW w:w="1680" w:type="dxa"/>
            <w:tcBorders>
              <w:bottom w:val="single" w:sz="8" w:space="0" w:color="auto"/>
            </w:tcBorders>
            <w:vAlign w:val="bottom"/>
          </w:tcPr>
          <w:p w:rsidR="007124F0" w:rsidRPr="00FD4A39" w:rsidRDefault="007124F0" w:rsidP="007124F0">
            <w:pPr>
              <w:jc w:val="center"/>
              <w:rPr>
                <w:rFonts w:cs="Arial"/>
                <w:sz w:val="22"/>
                <w:szCs w:val="22"/>
              </w:rPr>
            </w:pPr>
          </w:p>
        </w:tc>
      </w:tr>
      <w:tr w:rsidR="007124F0" w:rsidRPr="00FD4A39" w:rsidTr="007124F0">
        <w:trPr>
          <w:trHeight w:val="264"/>
        </w:trPr>
        <w:tc>
          <w:tcPr>
            <w:tcW w:w="2648" w:type="dxa"/>
            <w:tcBorders>
              <w:top w:val="single" w:sz="8" w:space="0" w:color="auto"/>
            </w:tcBorders>
            <w:noWrap/>
            <w:vAlign w:val="bottom"/>
          </w:tcPr>
          <w:p w:rsidR="007124F0" w:rsidRPr="00FD4A39" w:rsidRDefault="007124F0" w:rsidP="007124F0">
            <w:pPr>
              <w:rPr>
                <w:rFonts w:cs="Arial"/>
                <w:i/>
                <w:sz w:val="22"/>
                <w:szCs w:val="22"/>
              </w:rPr>
            </w:pPr>
            <w:r w:rsidRPr="00FD4A39">
              <w:rPr>
                <w:rFonts w:cs="Arial"/>
                <w:i/>
                <w:sz w:val="22"/>
                <w:szCs w:val="22"/>
              </w:rPr>
              <w:t>Obs.</w:t>
            </w:r>
          </w:p>
        </w:tc>
        <w:tc>
          <w:tcPr>
            <w:tcW w:w="1560" w:type="dxa"/>
            <w:tcBorders>
              <w:top w:val="single" w:sz="8" w:space="0" w:color="auto"/>
            </w:tcBorders>
            <w:noWrap/>
            <w:vAlign w:val="bottom"/>
          </w:tcPr>
          <w:p w:rsidR="007124F0" w:rsidRPr="005527A5" w:rsidRDefault="007124F0" w:rsidP="007124F0">
            <w:pPr>
              <w:jc w:val="center"/>
              <w:rPr>
                <w:sz w:val="22"/>
                <w:szCs w:val="22"/>
              </w:rPr>
            </w:pPr>
            <w:r w:rsidRPr="005527A5">
              <w:rPr>
                <w:sz w:val="22"/>
                <w:szCs w:val="22"/>
              </w:rPr>
              <w:t>1,162</w:t>
            </w:r>
          </w:p>
        </w:tc>
        <w:tc>
          <w:tcPr>
            <w:tcW w:w="1680" w:type="dxa"/>
            <w:tcBorders>
              <w:top w:val="single" w:sz="8" w:space="0" w:color="auto"/>
            </w:tcBorders>
            <w:noWrap/>
            <w:vAlign w:val="bottom"/>
          </w:tcPr>
          <w:p w:rsidR="007124F0" w:rsidRPr="005527A5" w:rsidRDefault="007124F0" w:rsidP="007124F0">
            <w:pPr>
              <w:jc w:val="center"/>
              <w:rPr>
                <w:sz w:val="22"/>
                <w:szCs w:val="22"/>
              </w:rPr>
            </w:pPr>
            <w:r w:rsidRPr="005527A5">
              <w:rPr>
                <w:sz w:val="22"/>
                <w:szCs w:val="22"/>
              </w:rPr>
              <w:t>1,162</w:t>
            </w:r>
          </w:p>
        </w:tc>
        <w:tc>
          <w:tcPr>
            <w:tcW w:w="360" w:type="dxa"/>
            <w:tcBorders>
              <w:top w:val="single" w:sz="8" w:space="0" w:color="auto"/>
            </w:tcBorders>
          </w:tcPr>
          <w:p w:rsidR="007124F0" w:rsidRPr="00FD4A39" w:rsidRDefault="007124F0" w:rsidP="007124F0">
            <w:pPr>
              <w:jc w:val="center"/>
              <w:rPr>
                <w:rFonts w:cs="Arial"/>
                <w:sz w:val="22"/>
                <w:szCs w:val="22"/>
              </w:rPr>
            </w:pPr>
          </w:p>
        </w:tc>
        <w:tc>
          <w:tcPr>
            <w:tcW w:w="1440" w:type="dxa"/>
            <w:tcBorders>
              <w:top w:val="single" w:sz="8" w:space="0" w:color="auto"/>
            </w:tcBorders>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1680" w:type="dxa"/>
            <w:tcBorders>
              <w:top w:val="single" w:sz="8" w:space="0" w:color="auto"/>
            </w:tcBorders>
            <w:vAlign w:val="bottom"/>
          </w:tcPr>
          <w:p w:rsidR="007124F0" w:rsidRPr="00FD4A39" w:rsidRDefault="007124F0" w:rsidP="007124F0">
            <w:pPr>
              <w:jc w:val="center"/>
              <w:rPr>
                <w:rFonts w:cs="Arial"/>
                <w:sz w:val="22"/>
                <w:szCs w:val="22"/>
              </w:rPr>
            </w:pPr>
            <w:r w:rsidRPr="00FD4A39">
              <w:rPr>
                <w:rFonts w:cs="Arial"/>
                <w:sz w:val="22"/>
                <w:szCs w:val="22"/>
              </w:rPr>
              <w:t>1,027</w:t>
            </w:r>
          </w:p>
        </w:tc>
      </w:tr>
      <w:tr w:rsidR="007124F0" w:rsidRPr="00FD4A39" w:rsidTr="007124F0">
        <w:trPr>
          <w:trHeight w:val="264"/>
        </w:trPr>
        <w:tc>
          <w:tcPr>
            <w:tcW w:w="2648" w:type="dxa"/>
            <w:noWrap/>
            <w:vAlign w:val="bottom"/>
          </w:tcPr>
          <w:p w:rsidR="00582EC7" w:rsidRPr="00582EC7" w:rsidRDefault="00582EC7" w:rsidP="007124F0">
            <w:pPr>
              <w:rPr>
                <w:rFonts w:cs="Arial"/>
                <w:i/>
                <w:sz w:val="10"/>
                <w:szCs w:val="10"/>
              </w:rPr>
            </w:pPr>
          </w:p>
          <w:p w:rsidR="007124F0" w:rsidRPr="00FD4A39" w:rsidRDefault="007124F0" w:rsidP="007124F0">
            <w:pPr>
              <w:rPr>
                <w:rFonts w:cs="Arial"/>
                <w:i/>
                <w:sz w:val="22"/>
                <w:szCs w:val="22"/>
              </w:rPr>
            </w:pPr>
            <w:r w:rsidRPr="00FD4A39">
              <w:rPr>
                <w:rFonts w:cs="Arial"/>
                <w:i/>
                <w:sz w:val="22"/>
                <w:szCs w:val="22"/>
              </w:rPr>
              <w:t>R</w:t>
            </w:r>
            <w:r w:rsidRPr="00FD4A39">
              <w:rPr>
                <w:rFonts w:cs="Arial"/>
                <w:i/>
                <w:sz w:val="22"/>
                <w:szCs w:val="22"/>
                <w:vertAlign w:val="superscript"/>
              </w:rPr>
              <w:t>2</w:t>
            </w:r>
          </w:p>
        </w:tc>
        <w:tc>
          <w:tcPr>
            <w:tcW w:w="1560" w:type="dxa"/>
            <w:noWrap/>
            <w:vAlign w:val="bottom"/>
          </w:tcPr>
          <w:p w:rsidR="007124F0" w:rsidRPr="005527A5" w:rsidRDefault="007124F0" w:rsidP="007124F0">
            <w:pPr>
              <w:jc w:val="center"/>
              <w:rPr>
                <w:sz w:val="22"/>
                <w:szCs w:val="22"/>
              </w:rPr>
            </w:pPr>
            <w:r w:rsidRPr="005527A5">
              <w:rPr>
                <w:sz w:val="22"/>
                <w:szCs w:val="22"/>
              </w:rPr>
              <w:t>0.479</w:t>
            </w:r>
          </w:p>
        </w:tc>
        <w:tc>
          <w:tcPr>
            <w:tcW w:w="1680" w:type="dxa"/>
            <w:noWrap/>
            <w:vAlign w:val="bottom"/>
          </w:tcPr>
          <w:p w:rsidR="007124F0" w:rsidRPr="005527A5" w:rsidRDefault="007124F0" w:rsidP="007124F0">
            <w:pPr>
              <w:jc w:val="center"/>
              <w:rPr>
                <w:sz w:val="22"/>
                <w:szCs w:val="22"/>
              </w:rPr>
            </w:pPr>
            <w:r w:rsidRPr="005527A5">
              <w:rPr>
                <w:sz w:val="22"/>
                <w:szCs w:val="22"/>
              </w:rPr>
              <w:t>0.430</w:t>
            </w:r>
          </w:p>
        </w:tc>
        <w:tc>
          <w:tcPr>
            <w:tcW w:w="360" w:type="dxa"/>
          </w:tcPr>
          <w:p w:rsidR="007124F0" w:rsidRPr="00FD4A39" w:rsidRDefault="007124F0" w:rsidP="007124F0">
            <w:pPr>
              <w:jc w:val="center"/>
              <w:rPr>
                <w:rFonts w:cs="Arial"/>
                <w:sz w:val="22"/>
                <w:szCs w:val="22"/>
              </w:rPr>
            </w:pPr>
          </w:p>
        </w:tc>
        <w:tc>
          <w:tcPr>
            <w:tcW w:w="1440" w:type="dxa"/>
            <w:vAlign w:val="bottom"/>
          </w:tcPr>
          <w:p w:rsidR="007124F0" w:rsidRPr="00FD4A39" w:rsidRDefault="007124F0" w:rsidP="007124F0">
            <w:pPr>
              <w:jc w:val="center"/>
              <w:rPr>
                <w:rFonts w:cs="Arial"/>
                <w:sz w:val="22"/>
                <w:szCs w:val="22"/>
              </w:rPr>
            </w:pPr>
            <w:r w:rsidRPr="00FD4A39">
              <w:rPr>
                <w:rFonts w:cs="Arial"/>
                <w:sz w:val="22"/>
                <w:szCs w:val="22"/>
              </w:rPr>
              <w:t>N.A.</w:t>
            </w:r>
          </w:p>
        </w:tc>
        <w:tc>
          <w:tcPr>
            <w:tcW w:w="1680" w:type="dxa"/>
            <w:vAlign w:val="bottom"/>
          </w:tcPr>
          <w:p w:rsidR="007124F0" w:rsidRPr="00FD4A39" w:rsidRDefault="007124F0" w:rsidP="007124F0">
            <w:pPr>
              <w:jc w:val="center"/>
              <w:rPr>
                <w:rFonts w:cs="Arial"/>
                <w:sz w:val="22"/>
                <w:szCs w:val="22"/>
              </w:rPr>
            </w:pPr>
            <w:r w:rsidRPr="00FD4A39">
              <w:rPr>
                <w:rFonts w:cs="Arial"/>
                <w:sz w:val="22"/>
                <w:szCs w:val="22"/>
              </w:rPr>
              <w:t>N.A.</w:t>
            </w:r>
          </w:p>
        </w:tc>
      </w:tr>
      <w:tr w:rsidR="007124F0" w:rsidRPr="00FD4A39" w:rsidTr="00582EC7">
        <w:trPr>
          <w:trHeight w:val="264"/>
        </w:trPr>
        <w:tc>
          <w:tcPr>
            <w:tcW w:w="2648" w:type="dxa"/>
            <w:noWrap/>
            <w:vAlign w:val="bottom"/>
          </w:tcPr>
          <w:p w:rsidR="00582EC7" w:rsidRPr="00582EC7" w:rsidRDefault="00582EC7" w:rsidP="007124F0">
            <w:pPr>
              <w:rPr>
                <w:rFonts w:cs="Arial"/>
                <w:i/>
                <w:sz w:val="10"/>
                <w:szCs w:val="10"/>
              </w:rPr>
            </w:pPr>
          </w:p>
          <w:p w:rsidR="00582EC7" w:rsidRDefault="007124F0" w:rsidP="007124F0">
            <w:pPr>
              <w:rPr>
                <w:rFonts w:cs="Arial"/>
                <w:sz w:val="22"/>
                <w:szCs w:val="22"/>
              </w:rPr>
            </w:pPr>
            <w:r w:rsidRPr="00FD4A39">
              <w:rPr>
                <w:rFonts w:cs="Arial"/>
                <w:i/>
                <w:sz w:val="22"/>
                <w:szCs w:val="22"/>
              </w:rPr>
              <w:t>F-</w:t>
            </w:r>
            <w:r w:rsidRPr="00FD4A39">
              <w:rPr>
                <w:rFonts w:cs="Arial"/>
                <w:sz w:val="22"/>
                <w:szCs w:val="22"/>
              </w:rPr>
              <w:t>test</w:t>
            </w:r>
            <w:r w:rsidRPr="00FD4A39">
              <w:rPr>
                <w:rFonts w:cs="Arial"/>
                <w:i/>
                <w:sz w:val="22"/>
                <w:szCs w:val="22"/>
              </w:rPr>
              <w:t xml:space="preserve"> </w:t>
            </w:r>
            <w:r w:rsidRPr="00FD4A39">
              <w:rPr>
                <w:rFonts w:cs="Arial"/>
                <w:sz w:val="22"/>
                <w:szCs w:val="22"/>
              </w:rPr>
              <w:t>(H</w:t>
            </w:r>
            <w:r w:rsidRPr="00FD4A39">
              <w:rPr>
                <w:rFonts w:cs="Arial"/>
                <w:sz w:val="22"/>
                <w:szCs w:val="22"/>
                <w:vertAlign w:val="subscript"/>
              </w:rPr>
              <w:t>0</w:t>
            </w:r>
            <w:r w:rsidRPr="00FD4A39">
              <w:rPr>
                <w:rFonts w:cs="Arial"/>
                <w:sz w:val="22"/>
                <w:szCs w:val="22"/>
              </w:rPr>
              <w:t>: Coeffs=0)</w:t>
            </w:r>
            <w:r w:rsidR="00582EC7">
              <w:rPr>
                <w:rFonts w:cs="Arial"/>
                <w:sz w:val="22"/>
                <w:szCs w:val="22"/>
              </w:rPr>
              <w:t xml:space="preserve"> </w:t>
            </w:r>
          </w:p>
          <w:p w:rsidR="007124F0" w:rsidRPr="00FD4A39" w:rsidRDefault="00582EC7" w:rsidP="007124F0">
            <w:pPr>
              <w:rPr>
                <w:rFonts w:cs="Arial"/>
                <w:i/>
                <w:sz w:val="22"/>
                <w:szCs w:val="22"/>
              </w:rPr>
            </w:pPr>
            <w:r>
              <w:rPr>
                <w:rFonts w:cs="Arial"/>
                <w:sz w:val="22"/>
                <w:szCs w:val="22"/>
              </w:rPr>
              <w:t>(</w:t>
            </w:r>
            <w:r w:rsidRPr="00DC37B1">
              <w:rPr>
                <w:rFonts w:cs="Arial"/>
                <w:i/>
                <w:sz w:val="22"/>
                <w:szCs w:val="22"/>
              </w:rPr>
              <w:t>P</w:t>
            </w:r>
            <w:r>
              <w:rPr>
                <w:rFonts w:cs="Arial"/>
                <w:sz w:val="22"/>
                <w:szCs w:val="22"/>
              </w:rPr>
              <w:t>-Value)</w:t>
            </w:r>
          </w:p>
        </w:tc>
        <w:tc>
          <w:tcPr>
            <w:tcW w:w="1560" w:type="dxa"/>
            <w:noWrap/>
            <w:vAlign w:val="center"/>
          </w:tcPr>
          <w:p w:rsidR="007124F0" w:rsidRPr="005527A5" w:rsidRDefault="00582EC7" w:rsidP="00582EC7">
            <w:pPr>
              <w:jc w:val="center"/>
              <w:rPr>
                <w:sz w:val="22"/>
                <w:szCs w:val="22"/>
              </w:rPr>
            </w:pPr>
            <w:r>
              <w:rPr>
                <w:sz w:val="22"/>
                <w:szCs w:val="22"/>
              </w:rPr>
              <w:t>0</w:t>
            </w:r>
            <w:r w:rsidR="007124F0" w:rsidRPr="005527A5">
              <w:rPr>
                <w:sz w:val="22"/>
                <w:szCs w:val="22"/>
              </w:rPr>
              <w:t>.</w:t>
            </w:r>
            <w:r>
              <w:rPr>
                <w:sz w:val="22"/>
                <w:szCs w:val="22"/>
              </w:rPr>
              <w:t>000</w:t>
            </w:r>
          </w:p>
        </w:tc>
        <w:tc>
          <w:tcPr>
            <w:tcW w:w="1680" w:type="dxa"/>
            <w:noWrap/>
            <w:vAlign w:val="center"/>
          </w:tcPr>
          <w:p w:rsidR="007124F0" w:rsidRPr="005527A5" w:rsidRDefault="00582EC7" w:rsidP="00582EC7">
            <w:pPr>
              <w:jc w:val="center"/>
              <w:rPr>
                <w:sz w:val="22"/>
                <w:szCs w:val="22"/>
              </w:rPr>
            </w:pPr>
            <w:r>
              <w:rPr>
                <w:sz w:val="22"/>
                <w:szCs w:val="22"/>
              </w:rPr>
              <w:t>0</w:t>
            </w:r>
            <w:r w:rsidR="007124F0" w:rsidRPr="005527A5">
              <w:rPr>
                <w:sz w:val="22"/>
                <w:szCs w:val="22"/>
              </w:rPr>
              <w:t>.</w:t>
            </w:r>
            <w:r>
              <w:rPr>
                <w:sz w:val="22"/>
                <w:szCs w:val="22"/>
              </w:rPr>
              <w:t>000</w:t>
            </w:r>
          </w:p>
        </w:tc>
        <w:tc>
          <w:tcPr>
            <w:tcW w:w="360" w:type="dxa"/>
            <w:vAlign w:val="center"/>
          </w:tcPr>
          <w:p w:rsidR="007124F0" w:rsidRPr="00FD4A39" w:rsidRDefault="007124F0" w:rsidP="00582EC7">
            <w:pPr>
              <w:jc w:val="center"/>
              <w:rPr>
                <w:rFonts w:cs="Arial"/>
                <w:sz w:val="22"/>
                <w:szCs w:val="22"/>
              </w:rPr>
            </w:pPr>
          </w:p>
        </w:tc>
        <w:tc>
          <w:tcPr>
            <w:tcW w:w="1440" w:type="dxa"/>
            <w:vAlign w:val="center"/>
          </w:tcPr>
          <w:p w:rsidR="007124F0" w:rsidRPr="00FD4A39" w:rsidRDefault="00582EC7" w:rsidP="00582EC7">
            <w:pPr>
              <w:jc w:val="center"/>
              <w:rPr>
                <w:rFonts w:cs="Arial"/>
                <w:sz w:val="22"/>
                <w:szCs w:val="22"/>
              </w:rPr>
            </w:pPr>
            <w:r>
              <w:rPr>
                <w:rFonts w:cs="Arial"/>
                <w:sz w:val="22"/>
                <w:szCs w:val="22"/>
              </w:rPr>
              <w:t>0</w:t>
            </w:r>
            <w:r w:rsidR="007124F0" w:rsidRPr="00FD4A39">
              <w:rPr>
                <w:rFonts w:cs="Arial"/>
                <w:sz w:val="22"/>
                <w:szCs w:val="22"/>
              </w:rPr>
              <w:t>.</w:t>
            </w:r>
            <w:r>
              <w:rPr>
                <w:rFonts w:cs="Arial"/>
                <w:sz w:val="22"/>
                <w:szCs w:val="22"/>
              </w:rPr>
              <w:t>000</w:t>
            </w:r>
          </w:p>
        </w:tc>
        <w:tc>
          <w:tcPr>
            <w:tcW w:w="1680" w:type="dxa"/>
            <w:vAlign w:val="center"/>
          </w:tcPr>
          <w:p w:rsidR="007124F0" w:rsidRPr="00FD4A39" w:rsidRDefault="00582EC7" w:rsidP="00582EC7">
            <w:pPr>
              <w:jc w:val="center"/>
              <w:rPr>
                <w:rFonts w:cs="Arial"/>
                <w:sz w:val="22"/>
                <w:szCs w:val="22"/>
              </w:rPr>
            </w:pPr>
            <w:r>
              <w:rPr>
                <w:rFonts w:cs="Arial"/>
                <w:sz w:val="22"/>
                <w:szCs w:val="22"/>
              </w:rPr>
              <w:t>0</w:t>
            </w:r>
            <w:r w:rsidR="007124F0" w:rsidRPr="00FD4A39">
              <w:rPr>
                <w:rFonts w:cs="Arial"/>
                <w:sz w:val="22"/>
                <w:szCs w:val="22"/>
              </w:rPr>
              <w:t>.</w:t>
            </w:r>
            <w:r>
              <w:rPr>
                <w:rFonts w:cs="Arial"/>
                <w:sz w:val="22"/>
                <w:szCs w:val="22"/>
              </w:rPr>
              <w:t>000</w:t>
            </w:r>
          </w:p>
        </w:tc>
      </w:tr>
      <w:tr w:rsidR="007124F0" w:rsidRPr="00FD4A39" w:rsidTr="00582EC7">
        <w:trPr>
          <w:trHeight w:val="264"/>
        </w:trPr>
        <w:tc>
          <w:tcPr>
            <w:tcW w:w="2648" w:type="dxa"/>
            <w:noWrap/>
            <w:vAlign w:val="bottom"/>
          </w:tcPr>
          <w:p w:rsidR="00582EC7" w:rsidRPr="00582EC7" w:rsidRDefault="00582EC7" w:rsidP="007124F0">
            <w:pPr>
              <w:rPr>
                <w:rFonts w:cs="Arial"/>
                <w:sz w:val="10"/>
                <w:szCs w:val="10"/>
              </w:rPr>
            </w:pPr>
          </w:p>
          <w:p w:rsidR="0078502E" w:rsidRDefault="007124F0" w:rsidP="007124F0">
            <w:pPr>
              <w:rPr>
                <w:rFonts w:cs="Arial"/>
                <w:sz w:val="22"/>
                <w:szCs w:val="22"/>
              </w:rPr>
            </w:pPr>
            <w:r w:rsidRPr="00FD4A39">
              <w:rPr>
                <w:rFonts w:cs="Arial"/>
                <w:sz w:val="22"/>
                <w:szCs w:val="22"/>
              </w:rPr>
              <w:t xml:space="preserve">Hansen’s </w:t>
            </w:r>
            <w:r w:rsidRPr="00FD4A39">
              <w:rPr>
                <w:rFonts w:cs="Arial"/>
                <w:i/>
                <w:iCs/>
                <w:sz w:val="22"/>
                <w:szCs w:val="22"/>
              </w:rPr>
              <w:t>J</w:t>
            </w:r>
            <w:r w:rsidR="0078502E">
              <w:rPr>
                <w:rFonts w:cs="Arial"/>
                <w:sz w:val="22"/>
                <w:szCs w:val="22"/>
              </w:rPr>
              <w:t>-Statistic</w:t>
            </w:r>
          </w:p>
          <w:p w:rsidR="007124F0" w:rsidRPr="00FD4A39" w:rsidRDefault="0078502E" w:rsidP="007124F0">
            <w:pPr>
              <w:rPr>
                <w:rFonts w:cs="Arial"/>
                <w:i/>
                <w:sz w:val="22"/>
                <w:szCs w:val="22"/>
              </w:rPr>
            </w:pPr>
            <w:r>
              <w:rPr>
                <w:rFonts w:cs="Arial"/>
                <w:sz w:val="22"/>
                <w:szCs w:val="22"/>
              </w:rPr>
              <w:t>(</w:t>
            </w:r>
            <w:r w:rsidR="007124F0" w:rsidRPr="00FD4A39">
              <w:rPr>
                <w:rFonts w:cs="Arial"/>
                <w:i/>
                <w:sz w:val="22"/>
                <w:szCs w:val="22"/>
              </w:rPr>
              <w:t>P</w:t>
            </w:r>
            <w:r w:rsidR="007124F0" w:rsidRPr="00FD4A39">
              <w:rPr>
                <w:rFonts w:cs="Arial"/>
                <w:sz w:val="22"/>
                <w:szCs w:val="22"/>
              </w:rPr>
              <w:t>-Value</w:t>
            </w:r>
            <w:r>
              <w:rPr>
                <w:rFonts w:cs="Arial"/>
                <w:sz w:val="22"/>
                <w:szCs w:val="22"/>
              </w:rPr>
              <w:t>)</w:t>
            </w:r>
          </w:p>
        </w:tc>
        <w:tc>
          <w:tcPr>
            <w:tcW w:w="1560" w:type="dxa"/>
            <w:noWrap/>
            <w:vAlign w:val="bottom"/>
          </w:tcPr>
          <w:p w:rsidR="007124F0" w:rsidRPr="00FD4A39" w:rsidRDefault="007124F0" w:rsidP="007124F0">
            <w:pPr>
              <w:jc w:val="center"/>
              <w:rPr>
                <w:rFonts w:cs="Arial"/>
                <w:sz w:val="22"/>
                <w:szCs w:val="22"/>
              </w:rPr>
            </w:pPr>
          </w:p>
        </w:tc>
        <w:tc>
          <w:tcPr>
            <w:tcW w:w="1680" w:type="dxa"/>
            <w:noWrap/>
            <w:vAlign w:val="bottom"/>
          </w:tcPr>
          <w:p w:rsidR="007124F0" w:rsidRPr="00FD4A39" w:rsidRDefault="007124F0" w:rsidP="007124F0">
            <w:pPr>
              <w:jc w:val="center"/>
              <w:rPr>
                <w:rFonts w:cs="Arial"/>
                <w:sz w:val="22"/>
                <w:szCs w:val="22"/>
              </w:rPr>
            </w:pPr>
          </w:p>
        </w:tc>
        <w:tc>
          <w:tcPr>
            <w:tcW w:w="360" w:type="dxa"/>
          </w:tcPr>
          <w:p w:rsidR="007124F0" w:rsidRPr="00FD4A39" w:rsidRDefault="007124F0" w:rsidP="007124F0">
            <w:pPr>
              <w:jc w:val="center"/>
              <w:rPr>
                <w:rFonts w:cs="Arial"/>
                <w:sz w:val="22"/>
                <w:szCs w:val="22"/>
              </w:rPr>
            </w:pPr>
          </w:p>
        </w:tc>
        <w:tc>
          <w:tcPr>
            <w:tcW w:w="1440" w:type="dxa"/>
            <w:vAlign w:val="center"/>
          </w:tcPr>
          <w:p w:rsidR="007124F0" w:rsidRPr="00FD4A39" w:rsidRDefault="007124F0" w:rsidP="00582EC7">
            <w:pPr>
              <w:jc w:val="center"/>
              <w:rPr>
                <w:rFonts w:cs="Arial"/>
                <w:sz w:val="22"/>
                <w:szCs w:val="22"/>
              </w:rPr>
            </w:pPr>
            <w:r w:rsidRPr="00FD4A39">
              <w:rPr>
                <w:rFonts w:cs="Arial"/>
                <w:sz w:val="22"/>
                <w:szCs w:val="22"/>
              </w:rPr>
              <w:t>0.215</w:t>
            </w:r>
          </w:p>
        </w:tc>
        <w:tc>
          <w:tcPr>
            <w:tcW w:w="1680" w:type="dxa"/>
            <w:vAlign w:val="center"/>
          </w:tcPr>
          <w:p w:rsidR="007124F0" w:rsidRPr="00FD4A39" w:rsidRDefault="007124F0" w:rsidP="00582EC7">
            <w:pPr>
              <w:jc w:val="center"/>
              <w:rPr>
                <w:rFonts w:cs="Arial"/>
                <w:sz w:val="22"/>
                <w:szCs w:val="22"/>
              </w:rPr>
            </w:pPr>
            <w:r w:rsidRPr="00FD4A39">
              <w:rPr>
                <w:rFonts w:cs="Arial"/>
                <w:sz w:val="22"/>
                <w:szCs w:val="22"/>
              </w:rPr>
              <w:t>0.454</w:t>
            </w:r>
          </w:p>
        </w:tc>
      </w:tr>
      <w:tr w:rsidR="0078502E" w:rsidRPr="00FD4A39" w:rsidTr="0078502E">
        <w:trPr>
          <w:trHeight w:val="264"/>
        </w:trPr>
        <w:tc>
          <w:tcPr>
            <w:tcW w:w="2648" w:type="dxa"/>
            <w:tcBorders>
              <w:bottom w:val="double" w:sz="4" w:space="0" w:color="auto"/>
            </w:tcBorders>
            <w:noWrap/>
            <w:vAlign w:val="bottom"/>
          </w:tcPr>
          <w:p w:rsidR="00582EC7" w:rsidRPr="00582EC7" w:rsidRDefault="00582EC7" w:rsidP="005D401D">
            <w:pPr>
              <w:rPr>
                <w:rFonts w:cs="Arial"/>
                <w:i/>
                <w:sz w:val="10"/>
                <w:szCs w:val="10"/>
              </w:rPr>
            </w:pPr>
          </w:p>
          <w:p w:rsidR="0078502E" w:rsidRPr="007B45DF" w:rsidRDefault="007B45DF" w:rsidP="005D401D">
            <w:pPr>
              <w:rPr>
                <w:rFonts w:cs="Arial"/>
                <w:sz w:val="22"/>
                <w:szCs w:val="22"/>
              </w:rPr>
            </w:pPr>
            <w:r w:rsidRPr="00FD4A39">
              <w:rPr>
                <w:rFonts w:cs="Arial"/>
                <w:i/>
                <w:sz w:val="22"/>
                <w:szCs w:val="22"/>
              </w:rPr>
              <w:t>F-</w:t>
            </w:r>
            <w:r w:rsidRPr="00FD4A39">
              <w:rPr>
                <w:rFonts w:cs="Arial"/>
                <w:sz w:val="22"/>
                <w:szCs w:val="22"/>
              </w:rPr>
              <w:t>test</w:t>
            </w:r>
            <w:r w:rsidRPr="00FD4A39">
              <w:rPr>
                <w:rFonts w:cs="Arial"/>
                <w:i/>
                <w:sz w:val="22"/>
                <w:szCs w:val="22"/>
              </w:rPr>
              <w:t xml:space="preserve"> </w:t>
            </w:r>
            <w:r w:rsidRPr="00FD4A39">
              <w:rPr>
                <w:rFonts w:cs="Arial"/>
                <w:sz w:val="22"/>
                <w:szCs w:val="22"/>
              </w:rPr>
              <w:t>(H</w:t>
            </w:r>
            <w:r w:rsidRPr="00FD4A39">
              <w:rPr>
                <w:rFonts w:cs="Arial"/>
                <w:sz w:val="22"/>
                <w:szCs w:val="22"/>
                <w:vertAlign w:val="subscript"/>
              </w:rPr>
              <w:t>0</w:t>
            </w:r>
            <w:r>
              <w:rPr>
                <w:rFonts w:cs="Arial"/>
                <w:sz w:val="22"/>
                <w:szCs w:val="22"/>
              </w:rPr>
              <w:t>: Excluded Instruments</w:t>
            </w:r>
            <w:r w:rsidRPr="00FD4A39">
              <w:rPr>
                <w:rFonts w:cs="Arial"/>
                <w:sz w:val="22"/>
                <w:szCs w:val="22"/>
              </w:rPr>
              <w:t>=0)</w:t>
            </w:r>
            <w:r>
              <w:rPr>
                <w:rFonts w:cs="Arial"/>
                <w:sz w:val="22"/>
                <w:szCs w:val="22"/>
              </w:rPr>
              <w:t xml:space="preserve"> </w:t>
            </w:r>
            <w:r w:rsidR="0078502E">
              <w:rPr>
                <w:rFonts w:cs="Arial"/>
                <w:sz w:val="22"/>
                <w:szCs w:val="22"/>
              </w:rPr>
              <w:t>(</w:t>
            </w:r>
            <w:r w:rsidR="0078502E" w:rsidRPr="00DC37B1">
              <w:rPr>
                <w:rFonts w:cs="Arial"/>
                <w:i/>
                <w:sz w:val="22"/>
                <w:szCs w:val="22"/>
              </w:rPr>
              <w:t>P</w:t>
            </w:r>
            <w:r w:rsidR="0078502E">
              <w:rPr>
                <w:rFonts w:cs="Arial"/>
                <w:sz w:val="22"/>
                <w:szCs w:val="22"/>
              </w:rPr>
              <w:t>-Value)</w:t>
            </w:r>
          </w:p>
        </w:tc>
        <w:tc>
          <w:tcPr>
            <w:tcW w:w="1560" w:type="dxa"/>
            <w:tcBorders>
              <w:bottom w:val="double" w:sz="4" w:space="0" w:color="auto"/>
            </w:tcBorders>
            <w:noWrap/>
            <w:vAlign w:val="bottom"/>
          </w:tcPr>
          <w:p w:rsidR="0078502E" w:rsidRPr="00FD4A39" w:rsidRDefault="0078502E" w:rsidP="007124F0">
            <w:pPr>
              <w:jc w:val="center"/>
              <w:rPr>
                <w:rFonts w:cs="Arial"/>
                <w:sz w:val="22"/>
                <w:szCs w:val="22"/>
              </w:rPr>
            </w:pPr>
          </w:p>
        </w:tc>
        <w:tc>
          <w:tcPr>
            <w:tcW w:w="1680" w:type="dxa"/>
            <w:tcBorders>
              <w:bottom w:val="double" w:sz="4" w:space="0" w:color="auto"/>
            </w:tcBorders>
            <w:noWrap/>
            <w:vAlign w:val="bottom"/>
          </w:tcPr>
          <w:p w:rsidR="0078502E" w:rsidRPr="00FD4A39" w:rsidRDefault="0078502E" w:rsidP="007124F0">
            <w:pPr>
              <w:jc w:val="center"/>
              <w:rPr>
                <w:rFonts w:cs="Arial"/>
                <w:sz w:val="22"/>
                <w:szCs w:val="22"/>
              </w:rPr>
            </w:pPr>
          </w:p>
        </w:tc>
        <w:tc>
          <w:tcPr>
            <w:tcW w:w="360" w:type="dxa"/>
            <w:tcBorders>
              <w:bottom w:val="double" w:sz="4" w:space="0" w:color="auto"/>
            </w:tcBorders>
          </w:tcPr>
          <w:p w:rsidR="0078502E" w:rsidRPr="00FD4A39" w:rsidRDefault="0078502E" w:rsidP="007124F0">
            <w:pPr>
              <w:jc w:val="center"/>
              <w:rPr>
                <w:rFonts w:cs="Arial"/>
                <w:sz w:val="22"/>
                <w:szCs w:val="22"/>
              </w:rPr>
            </w:pPr>
          </w:p>
        </w:tc>
        <w:tc>
          <w:tcPr>
            <w:tcW w:w="1440" w:type="dxa"/>
            <w:tcBorders>
              <w:bottom w:val="double" w:sz="4" w:space="0" w:color="auto"/>
            </w:tcBorders>
            <w:vAlign w:val="bottom"/>
          </w:tcPr>
          <w:p w:rsidR="0078502E" w:rsidRDefault="0078502E" w:rsidP="0078502E">
            <w:pPr>
              <w:jc w:val="center"/>
              <w:rPr>
                <w:rFonts w:cs="Arial"/>
                <w:sz w:val="22"/>
                <w:szCs w:val="22"/>
              </w:rPr>
            </w:pPr>
            <w:r w:rsidRPr="00FD4A39">
              <w:rPr>
                <w:rFonts w:cs="Arial"/>
                <w:sz w:val="22"/>
                <w:szCs w:val="22"/>
              </w:rPr>
              <w:t>0.</w:t>
            </w:r>
            <w:r w:rsidR="007B45DF">
              <w:rPr>
                <w:rFonts w:cs="Arial"/>
                <w:sz w:val="22"/>
                <w:szCs w:val="22"/>
              </w:rPr>
              <w:t>000</w:t>
            </w:r>
          </w:p>
          <w:p w:rsidR="0078502E" w:rsidRPr="00FD4A39" w:rsidRDefault="0078502E" w:rsidP="0078502E">
            <w:pPr>
              <w:jc w:val="center"/>
              <w:rPr>
                <w:rFonts w:cs="Arial"/>
                <w:sz w:val="22"/>
                <w:szCs w:val="22"/>
              </w:rPr>
            </w:pPr>
          </w:p>
        </w:tc>
        <w:tc>
          <w:tcPr>
            <w:tcW w:w="1680" w:type="dxa"/>
            <w:tcBorders>
              <w:bottom w:val="double" w:sz="4" w:space="0" w:color="auto"/>
            </w:tcBorders>
            <w:vAlign w:val="bottom"/>
          </w:tcPr>
          <w:p w:rsidR="0078502E" w:rsidRDefault="007B45DF" w:rsidP="0078502E">
            <w:pPr>
              <w:jc w:val="center"/>
              <w:rPr>
                <w:rFonts w:cs="Arial"/>
                <w:sz w:val="22"/>
                <w:szCs w:val="22"/>
              </w:rPr>
            </w:pPr>
            <w:r>
              <w:rPr>
                <w:rFonts w:cs="Arial"/>
                <w:sz w:val="22"/>
                <w:szCs w:val="22"/>
              </w:rPr>
              <w:t>0</w:t>
            </w:r>
            <w:r w:rsidR="00582EC7">
              <w:rPr>
                <w:rFonts w:cs="Arial"/>
                <w:sz w:val="22"/>
                <w:szCs w:val="22"/>
              </w:rPr>
              <w:t>.000</w:t>
            </w:r>
          </w:p>
          <w:p w:rsidR="0078502E" w:rsidRPr="00FD4A39" w:rsidRDefault="0078502E" w:rsidP="0078502E">
            <w:pPr>
              <w:jc w:val="center"/>
              <w:rPr>
                <w:rFonts w:cs="Arial"/>
                <w:sz w:val="22"/>
                <w:szCs w:val="22"/>
              </w:rPr>
            </w:pPr>
          </w:p>
        </w:tc>
      </w:tr>
    </w:tbl>
    <w:p w:rsidR="007124F0" w:rsidRPr="0078502E" w:rsidRDefault="007124F0" w:rsidP="007124F0">
      <w:pPr>
        <w:jc w:val="both"/>
        <w:rPr>
          <w:sz w:val="18"/>
          <w:szCs w:val="18"/>
        </w:rPr>
      </w:pPr>
      <w:r w:rsidRPr="0078502E">
        <w:rPr>
          <w:sz w:val="18"/>
          <w:szCs w:val="18"/>
        </w:rPr>
        <w:t xml:space="preserve">Note: ***, ** and * indicate statistical significance at the 1%, 5% and 10% (two-tail) test levels, respectively. </w:t>
      </w:r>
    </w:p>
    <w:p w:rsidR="007124F0" w:rsidRPr="00FD4A39" w:rsidRDefault="007124F0" w:rsidP="007124F0">
      <w:pPr>
        <w:rPr>
          <w:sz w:val="22"/>
          <w:szCs w:val="22"/>
        </w:rPr>
      </w:pPr>
    </w:p>
    <w:p w:rsidR="007124F0" w:rsidRPr="00FD4A39" w:rsidRDefault="007124F0" w:rsidP="007124F0">
      <w:pPr>
        <w:rPr>
          <w:sz w:val="22"/>
          <w:szCs w:val="22"/>
        </w:rPr>
      </w:pPr>
      <w:r w:rsidRPr="00FD4A39">
        <w:rPr>
          <w:sz w:val="22"/>
          <w:szCs w:val="22"/>
        </w:rPr>
        <w:br w:type="page"/>
      </w:r>
    </w:p>
    <w:tbl>
      <w:tblPr>
        <w:tblW w:w="9508" w:type="dxa"/>
        <w:tblLook w:val="0000"/>
      </w:tblPr>
      <w:tblGrid>
        <w:gridCol w:w="2508"/>
        <w:gridCol w:w="1680"/>
        <w:gridCol w:w="1700"/>
        <w:gridCol w:w="240"/>
        <w:gridCol w:w="1800"/>
        <w:gridCol w:w="1580"/>
      </w:tblGrid>
      <w:tr w:rsidR="007124F0" w:rsidRPr="00FD4A39" w:rsidTr="007B45DF">
        <w:trPr>
          <w:trHeight w:val="264"/>
        </w:trPr>
        <w:tc>
          <w:tcPr>
            <w:tcW w:w="2508" w:type="dxa"/>
            <w:tcBorders>
              <w:top w:val="double" w:sz="4" w:space="0" w:color="auto"/>
            </w:tcBorders>
            <w:noWrap/>
            <w:vAlign w:val="bottom"/>
          </w:tcPr>
          <w:p w:rsidR="007124F0" w:rsidRPr="00FD4A39" w:rsidRDefault="007124F0" w:rsidP="007124F0">
            <w:pPr>
              <w:rPr>
                <w:rFonts w:cs="Arial"/>
                <w:b/>
                <w:sz w:val="22"/>
                <w:szCs w:val="22"/>
              </w:rPr>
            </w:pPr>
          </w:p>
          <w:p w:rsidR="007124F0" w:rsidRPr="00FD4A39" w:rsidRDefault="007124F0" w:rsidP="007124F0">
            <w:pPr>
              <w:rPr>
                <w:rFonts w:cs="Arial"/>
                <w:b/>
                <w:sz w:val="22"/>
                <w:szCs w:val="22"/>
              </w:rPr>
            </w:pPr>
            <w:r w:rsidRPr="00FD4A39">
              <w:rPr>
                <w:rFonts w:cs="Arial"/>
                <w:b/>
                <w:sz w:val="22"/>
                <w:szCs w:val="22"/>
              </w:rPr>
              <w:t xml:space="preserve">Panel B: </w:t>
            </w:r>
            <w:r w:rsidRPr="00FD4A39">
              <w:rPr>
                <w:rFonts w:cs="Arial"/>
                <w:b/>
                <w:i/>
                <w:sz w:val="22"/>
                <w:szCs w:val="22"/>
              </w:rPr>
              <w:t>SecuredLeverage</w:t>
            </w:r>
          </w:p>
        </w:tc>
        <w:tc>
          <w:tcPr>
            <w:tcW w:w="3380" w:type="dxa"/>
            <w:gridSpan w:val="2"/>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OLS</w:t>
            </w:r>
          </w:p>
        </w:tc>
        <w:tc>
          <w:tcPr>
            <w:tcW w:w="240" w:type="dxa"/>
            <w:tcBorders>
              <w:top w:val="double" w:sz="4" w:space="0" w:color="auto"/>
            </w:tcBorders>
          </w:tcPr>
          <w:p w:rsidR="007124F0" w:rsidRPr="00FD4A39" w:rsidRDefault="007124F0" w:rsidP="007124F0">
            <w:pPr>
              <w:jc w:val="center"/>
              <w:rPr>
                <w:rFonts w:cs="Arial"/>
                <w:sz w:val="22"/>
                <w:szCs w:val="22"/>
              </w:rPr>
            </w:pPr>
          </w:p>
        </w:tc>
        <w:tc>
          <w:tcPr>
            <w:tcW w:w="3380" w:type="dxa"/>
            <w:gridSpan w:val="2"/>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GMM</w:t>
            </w:r>
          </w:p>
        </w:tc>
      </w:tr>
      <w:tr w:rsidR="007124F0" w:rsidRPr="00FD4A39" w:rsidTr="007B45DF">
        <w:trPr>
          <w:trHeight w:val="264"/>
        </w:trPr>
        <w:tc>
          <w:tcPr>
            <w:tcW w:w="2508" w:type="dxa"/>
            <w:tcBorders>
              <w:bottom w:val="single" w:sz="4" w:space="0" w:color="auto"/>
            </w:tcBorders>
            <w:noWrap/>
          </w:tcPr>
          <w:p w:rsidR="007124F0" w:rsidRPr="00FD4A39" w:rsidRDefault="007124F0" w:rsidP="007124F0">
            <w:pPr>
              <w:jc w:val="center"/>
              <w:rPr>
                <w:rFonts w:cs="Arial"/>
                <w:sz w:val="22"/>
                <w:szCs w:val="22"/>
              </w:rPr>
            </w:pPr>
          </w:p>
        </w:tc>
        <w:tc>
          <w:tcPr>
            <w:tcW w:w="1680" w:type="dxa"/>
            <w:tcBorders>
              <w:top w:val="single" w:sz="4" w:space="0" w:color="auto"/>
              <w:bottom w:val="single" w:sz="4" w:space="0" w:color="auto"/>
            </w:tcBorders>
            <w:noWrap/>
          </w:tcPr>
          <w:p w:rsidR="007124F0" w:rsidRPr="00FD4A39" w:rsidRDefault="007124F0" w:rsidP="007124F0">
            <w:pPr>
              <w:jc w:val="center"/>
              <w:rPr>
                <w:rFonts w:cs="Arial"/>
                <w:i/>
                <w:sz w:val="22"/>
                <w:szCs w:val="22"/>
              </w:rPr>
            </w:pPr>
            <w:r w:rsidRPr="00FD4A39">
              <w:rPr>
                <w:rFonts w:cs="Arial"/>
                <w:i/>
                <w:sz w:val="22"/>
                <w:szCs w:val="22"/>
              </w:rPr>
              <w:t>Secured</w:t>
            </w:r>
          </w:p>
          <w:p w:rsidR="007124F0" w:rsidRPr="00FD4A39" w:rsidRDefault="007124F0" w:rsidP="007124F0">
            <w:pPr>
              <w:jc w:val="center"/>
              <w:rPr>
                <w:rFonts w:cs="Arial"/>
                <w:i/>
                <w:sz w:val="22"/>
                <w:szCs w:val="22"/>
              </w:rPr>
            </w:pPr>
            <w:r w:rsidRPr="00FD4A39">
              <w:rPr>
                <w:rFonts w:cs="Arial"/>
                <w:i/>
                <w:sz w:val="22"/>
                <w:szCs w:val="22"/>
              </w:rPr>
              <w:t>MarketLeverage</w:t>
            </w:r>
          </w:p>
          <w:p w:rsidR="007124F0" w:rsidRPr="00FD4A39" w:rsidRDefault="007124F0" w:rsidP="007124F0">
            <w:pPr>
              <w:jc w:val="center"/>
              <w:rPr>
                <w:rFonts w:cs="Arial"/>
                <w:sz w:val="22"/>
                <w:szCs w:val="22"/>
              </w:rPr>
            </w:pPr>
            <w:r w:rsidRPr="00FD4A39">
              <w:rPr>
                <w:rFonts w:cs="Arial"/>
                <w:sz w:val="22"/>
                <w:szCs w:val="22"/>
              </w:rPr>
              <w:t>(1)</w:t>
            </w:r>
          </w:p>
        </w:tc>
        <w:tc>
          <w:tcPr>
            <w:tcW w:w="1700" w:type="dxa"/>
            <w:tcBorders>
              <w:top w:val="single" w:sz="4" w:space="0" w:color="auto"/>
              <w:bottom w:val="single" w:sz="4" w:space="0" w:color="auto"/>
            </w:tcBorders>
            <w:noWrap/>
          </w:tcPr>
          <w:p w:rsidR="007124F0" w:rsidRPr="00FD4A39" w:rsidRDefault="007124F0" w:rsidP="007124F0">
            <w:pPr>
              <w:jc w:val="center"/>
              <w:rPr>
                <w:rFonts w:cs="Arial"/>
                <w:i/>
                <w:sz w:val="22"/>
                <w:szCs w:val="22"/>
              </w:rPr>
            </w:pPr>
            <w:r w:rsidRPr="00FD4A39">
              <w:rPr>
                <w:rFonts w:cs="Arial"/>
                <w:i/>
                <w:sz w:val="22"/>
                <w:szCs w:val="22"/>
              </w:rPr>
              <w:t>Secured</w:t>
            </w:r>
          </w:p>
          <w:p w:rsidR="007124F0" w:rsidRPr="00FD4A39" w:rsidRDefault="007124F0" w:rsidP="007124F0">
            <w:pPr>
              <w:jc w:val="center"/>
              <w:rPr>
                <w:rFonts w:cs="Arial"/>
                <w:i/>
                <w:sz w:val="22"/>
                <w:szCs w:val="22"/>
              </w:rPr>
            </w:pPr>
            <w:r w:rsidRPr="00FD4A39">
              <w:rPr>
                <w:rFonts w:cs="Arial"/>
                <w:i/>
                <w:sz w:val="22"/>
                <w:szCs w:val="22"/>
              </w:rPr>
              <w:t>BookLeverage</w:t>
            </w:r>
          </w:p>
          <w:p w:rsidR="007124F0" w:rsidRPr="00FD4A39" w:rsidRDefault="007124F0" w:rsidP="007124F0">
            <w:pPr>
              <w:jc w:val="center"/>
              <w:rPr>
                <w:rFonts w:cs="Arial"/>
                <w:sz w:val="22"/>
                <w:szCs w:val="22"/>
              </w:rPr>
            </w:pPr>
            <w:r w:rsidRPr="00FD4A39">
              <w:rPr>
                <w:rFonts w:cs="Arial"/>
                <w:sz w:val="22"/>
                <w:szCs w:val="22"/>
              </w:rPr>
              <w:t>(2)</w:t>
            </w:r>
          </w:p>
        </w:tc>
        <w:tc>
          <w:tcPr>
            <w:tcW w:w="240" w:type="dxa"/>
            <w:tcBorders>
              <w:bottom w:val="single" w:sz="4" w:space="0" w:color="auto"/>
            </w:tcBorders>
          </w:tcPr>
          <w:p w:rsidR="007124F0" w:rsidRPr="00FD4A39" w:rsidRDefault="007124F0" w:rsidP="007124F0">
            <w:pPr>
              <w:jc w:val="center"/>
              <w:rPr>
                <w:rFonts w:cs="Arial"/>
                <w:i/>
                <w:sz w:val="22"/>
                <w:szCs w:val="22"/>
              </w:rPr>
            </w:pPr>
          </w:p>
        </w:tc>
        <w:tc>
          <w:tcPr>
            <w:tcW w:w="1800" w:type="dxa"/>
            <w:tcBorders>
              <w:top w:val="single" w:sz="4" w:space="0" w:color="auto"/>
              <w:bottom w:val="single" w:sz="4" w:space="0" w:color="auto"/>
            </w:tcBorders>
            <w:noWrap/>
          </w:tcPr>
          <w:p w:rsidR="007124F0" w:rsidRPr="00FD4A39" w:rsidRDefault="007124F0" w:rsidP="007124F0">
            <w:pPr>
              <w:jc w:val="center"/>
              <w:rPr>
                <w:rFonts w:cs="Arial"/>
                <w:i/>
                <w:sz w:val="22"/>
                <w:szCs w:val="22"/>
              </w:rPr>
            </w:pPr>
            <w:r w:rsidRPr="00FD4A39">
              <w:rPr>
                <w:rFonts w:cs="Arial"/>
                <w:i/>
                <w:sz w:val="22"/>
                <w:szCs w:val="22"/>
              </w:rPr>
              <w:t>Secured</w:t>
            </w:r>
          </w:p>
          <w:p w:rsidR="007124F0" w:rsidRPr="00FD4A39" w:rsidRDefault="007124F0" w:rsidP="007124F0">
            <w:pPr>
              <w:jc w:val="center"/>
              <w:rPr>
                <w:rFonts w:cs="Arial"/>
                <w:i/>
                <w:sz w:val="22"/>
                <w:szCs w:val="22"/>
              </w:rPr>
            </w:pPr>
            <w:r w:rsidRPr="00FD4A39">
              <w:rPr>
                <w:rFonts w:cs="Arial"/>
                <w:i/>
                <w:sz w:val="22"/>
                <w:szCs w:val="22"/>
              </w:rPr>
              <w:t>MarketLeverage</w:t>
            </w:r>
          </w:p>
          <w:p w:rsidR="007124F0" w:rsidRPr="00FD4A39" w:rsidRDefault="007124F0" w:rsidP="007124F0">
            <w:pPr>
              <w:jc w:val="center"/>
              <w:rPr>
                <w:rFonts w:cs="Arial"/>
                <w:sz w:val="22"/>
                <w:szCs w:val="22"/>
              </w:rPr>
            </w:pPr>
            <w:r w:rsidRPr="00FD4A39">
              <w:rPr>
                <w:rFonts w:cs="Arial"/>
                <w:sz w:val="22"/>
                <w:szCs w:val="22"/>
              </w:rPr>
              <w:t>(3)</w:t>
            </w:r>
          </w:p>
        </w:tc>
        <w:tc>
          <w:tcPr>
            <w:tcW w:w="1580" w:type="dxa"/>
            <w:tcBorders>
              <w:top w:val="single" w:sz="4" w:space="0" w:color="auto"/>
              <w:bottom w:val="single" w:sz="4" w:space="0" w:color="auto"/>
            </w:tcBorders>
            <w:noWrap/>
          </w:tcPr>
          <w:p w:rsidR="007124F0" w:rsidRPr="00FD4A39" w:rsidRDefault="007124F0" w:rsidP="007124F0">
            <w:pPr>
              <w:jc w:val="center"/>
              <w:rPr>
                <w:rFonts w:cs="Arial"/>
                <w:i/>
                <w:sz w:val="22"/>
                <w:szCs w:val="22"/>
              </w:rPr>
            </w:pPr>
            <w:r w:rsidRPr="00FD4A39">
              <w:rPr>
                <w:rFonts w:cs="Arial"/>
                <w:i/>
                <w:sz w:val="22"/>
                <w:szCs w:val="22"/>
              </w:rPr>
              <w:t>Secured</w:t>
            </w:r>
          </w:p>
          <w:p w:rsidR="007124F0" w:rsidRPr="00FD4A39" w:rsidRDefault="007124F0" w:rsidP="007124F0">
            <w:pPr>
              <w:jc w:val="center"/>
              <w:rPr>
                <w:rFonts w:cs="Arial"/>
                <w:i/>
                <w:sz w:val="22"/>
                <w:szCs w:val="22"/>
              </w:rPr>
            </w:pPr>
            <w:r w:rsidRPr="00FD4A39">
              <w:rPr>
                <w:rFonts w:cs="Arial"/>
                <w:i/>
                <w:sz w:val="22"/>
                <w:szCs w:val="22"/>
              </w:rPr>
              <w:t>BookLeverage</w:t>
            </w:r>
          </w:p>
          <w:p w:rsidR="007124F0" w:rsidRPr="00FD4A39" w:rsidRDefault="007124F0" w:rsidP="007124F0">
            <w:pPr>
              <w:jc w:val="center"/>
              <w:rPr>
                <w:rFonts w:cs="Arial"/>
                <w:sz w:val="22"/>
                <w:szCs w:val="22"/>
              </w:rPr>
            </w:pPr>
            <w:r w:rsidRPr="00FD4A39">
              <w:rPr>
                <w:rFonts w:cs="Arial"/>
                <w:sz w:val="22"/>
                <w:szCs w:val="22"/>
              </w:rPr>
              <w:t>(4)</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Pr>
                <w:rFonts w:cs="Arial"/>
                <w:i/>
                <w:sz w:val="22"/>
                <w:szCs w:val="22"/>
              </w:rPr>
              <w:t>q</w:t>
            </w:r>
          </w:p>
        </w:tc>
        <w:tc>
          <w:tcPr>
            <w:tcW w:w="1680" w:type="dxa"/>
            <w:noWrap/>
            <w:vAlign w:val="bottom"/>
          </w:tcPr>
          <w:p w:rsidR="007124F0" w:rsidRPr="005527A5" w:rsidRDefault="007124F0" w:rsidP="007124F0">
            <w:pPr>
              <w:jc w:val="center"/>
              <w:rPr>
                <w:sz w:val="22"/>
                <w:szCs w:val="22"/>
              </w:rPr>
            </w:pPr>
            <w:r w:rsidRPr="005527A5">
              <w:rPr>
                <w:sz w:val="22"/>
                <w:szCs w:val="22"/>
              </w:rPr>
              <w:t>-0.272***</w:t>
            </w:r>
          </w:p>
        </w:tc>
        <w:tc>
          <w:tcPr>
            <w:tcW w:w="1700" w:type="dxa"/>
            <w:noWrap/>
            <w:vAlign w:val="bottom"/>
          </w:tcPr>
          <w:p w:rsidR="007124F0" w:rsidRPr="005527A5" w:rsidRDefault="007124F0" w:rsidP="007124F0">
            <w:pPr>
              <w:jc w:val="center"/>
              <w:rPr>
                <w:sz w:val="22"/>
                <w:szCs w:val="22"/>
              </w:rPr>
            </w:pPr>
            <w:r w:rsidRPr="005527A5">
              <w:rPr>
                <w:sz w:val="22"/>
                <w:szCs w:val="22"/>
              </w:rPr>
              <w:t>-0.101</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7124F0" w:rsidP="007124F0">
            <w:pPr>
              <w:jc w:val="center"/>
              <w:rPr>
                <w:rFonts w:cs="Arial"/>
                <w:sz w:val="22"/>
                <w:szCs w:val="22"/>
              </w:rPr>
            </w:pPr>
            <w:r w:rsidRPr="00FD4A39">
              <w:rPr>
                <w:rFonts w:cs="Arial"/>
                <w:sz w:val="22"/>
                <w:szCs w:val="22"/>
              </w:rPr>
              <w:t>-0.230***</w:t>
            </w:r>
          </w:p>
        </w:tc>
        <w:tc>
          <w:tcPr>
            <w:tcW w:w="1580" w:type="dxa"/>
            <w:noWrap/>
            <w:vAlign w:val="bottom"/>
          </w:tcPr>
          <w:p w:rsidR="007124F0" w:rsidRPr="00FD4A39" w:rsidRDefault="007124F0" w:rsidP="007124F0">
            <w:pPr>
              <w:jc w:val="center"/>
              <w:rPr>
                <w:rFonts w:cs="Arial"/>
                <w:sz w:val="22"/>
                <w:szCs w:val="22"/>
              </w:rPr>
            </w:pPr>
            <w:r w:rsidRPr="00FD4A39">
              <w:rPr>
                <w:rFonts w:cs="Arial"/>
                <w:sz w:val="22"/>
                <w:szCs w:val="22"/>
              </w:rPr>
              <w:t>-0.021</w:t>
            </w: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680" w:type="dxa"/>
            <w:noWrap/>
          </w:tcPr>
          <w:p w:rsidR="007124F0" w:rsidRPr="005527A5" w:rsidRDefault="007124F0" w:rsidP="0078502E">
            <w:pPr>
              <w:jc w:val="center"/>
              <w:rPr>
                <w:sz w:val="22"/>
                <w:szCs w:val="22"/>
              </w:rPr>
            </w:pPr>
            <w:r w:rsidRPr="005527A5">
              <w:rPr>
                <w:sz w:val="22"/>
                <w:szCs w:val="22"/>
              </w:rPr>
              <w:t>(0.049)</w:t>
            </w:r>
          </w:p>
        </w:tc>
        <w:tc>
          <w:tcPr>
            <w:tcW w:w="1700" w:type="dxa"/>
            <w:noWrap/>
          </w:tcPr>
          <w:p w:rsidR="007124F0" w:rsidRPr="005527A5" w:rsidRDefault="007124F0" w:rsidP="0078502E">
            <w:pPr>
              <w:jc w:val="center"/>
              <w:rPr>
                <w:sz w:val="22"/>
                <w:szCs w:val="22"/>
              </w:rPr>
            </w:pPr>
            <w:r w:rsidRPr="005527A5">
              <w:rPr>
                <w:sz w:val="22"/>
                <w:szCs w:val="22"/>
              </w:rPr>
              <w:t>(0.065)</w:t>
            </w:r>
          </w:p>
        </w:tc>
        <w:tc>
          <w:tcPr>
            <w:tcW w:w="240" w:type="dxa"/>
          </w:tcPr>
          <w:p w:rsidR="007124F0" w:rsidRPr="00FD4A39" w:rsidRDefault="007124F0" w:rsidP="0078502E">
            <w:pPr>
              <w:jc w:val="center"/>
              <w:rPr>
                <w:rFonts w:cs="Arial"/>
                <w:sz w:val="22"/>
                <w:szCs w:val="22"/>
              </w:rPr>
            </w:pPr>
          </w:p>
        </w:tc>
        <w:tc>
          <w:tcPr>
            <w:tcW w:w="1800" w:type="dxa"/>
            <w:noWrap/>
          </w:tcPr>
          <w:p w:rsidR="007124F0" w:rsidRPr="00FD4A39" w:rsidRDefault="007124F0" w:rsidP="0078502E">
            <w:pPr>
              <w:jc w:val="center"/>
              <w:rPr>
                <w:rFonts w:cs="Arial"/>
                <w:sz w:val="22"/>
                <w:szCs w:val="22"/>
              </w:rPr>
            </w:pPr>
            <w:r w:rsidRPr="00FD4A39">
              <w:rPr>
                <w:rFonts w:cs="Arial"/>
                <w:sz w:val="22"/>
                <w:szCs w:val="22"/>
              </w:rPr>
              <w:t>(0.089)</w:t>
            </w:r>
          </w:p>
        </w:tc>
        <w:tc>
          <w:tcPr>
            <w:tcW w:w="1580" w:type="dxa"/>
            <w:noWrap/>
          </w:tcPr>
          <w:p w:rsidR="007124F0" w:rsidRPr="00FD4A39" w:rsidRDefault="007124F0" w:rsidP="0078502E">
            <w:pPr>
              <w:jc w:val="center"/>
              <w:rPr>
                <w:rFonts w:cs="Arial"/>
                <w:sz w:val="22"/>
                <w:szCs w:val="22"/>
              </w:rPr>
            </w:pPr>
            <w:r w:rsidRPr="00FD4A39">
              <w:rPr>
                <w:rFonts w:cs="Arial"/>
                <w:sz w:val="22"/>
                <w:szCs w:val="22"/>
              </w:rPr>
              <w:t>(0.124)</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Size</w:t>
            </w:r>
          </w:p>
        </w:tc>
        <w:tc>
          <w:tcPr>
            <w:tcW w:w="1680" w:type="dxa"/>
            <w:noWrap/>
            <w:vAlign w:val="bottom"/>
          </w:tcPr>
          <w:p w:rsidR="007124F0" w:rsidRPr="005527A5" w:rsidRDefault="007124F0" w:rsidP="007124F0">
            <w:pPr>
              <w:jc w:val="center"/>
              <w:rPr>
                <w:sz w:val="22"/>
                <w:szCs w:val="22"/>
              </w:rPr>
            </w:pPr>
            <w:r w:rsidRPr="005527A5">
              <w:rPr>
                <w:sz w:val="22"/>
                <w:szCs w:val="22"/>
              </w:rPr>
              <w:t>-0.062***</w:t>
            </w:r>
          </w:p>
        </w:tc>
        <w:tc>
          <w:tcPr>
            <w:tcW w:w="1700" w:type="dxa"/>
            <w:noWrap/>
            <w:vAlign w:val="bottom"/>
          </w:tcPr>
          <w:p w:rsidR="007124F0" w:rsidRPr="005527A5" w:rsidRDefault="007124F0" w:rsidP="007124F0">
            <w:pPr>
              <w:jc w:val="center"/>
              <w:rPr>
                <w:sz w:val="22"/>
                <w:szCs w:val="22"/>
              </w:rPr>
            </w:pPr>
            <w:r w:rsidRPr="005527A5">
              <w:rPr>
                <w:sz w:val="22"/>
                <w:szCs w:val="22"/>
              </w:rPr>
              <w:t>-0.076***</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7124F0" w:rsidP="007124F0">
            <w:pPr>
              <w:jc w:val="center"/>
              <w:rPr>
                <w:rFonts w:cs="Arial"/>
                <w:sz w:val="22"/>
                <w:szCs w:val="22"/>
              </w:rPr>
            </w:pPr>
            <w:r w:rsidRPr="00FD4A39">
              <w:rPr>
                <w:rFonts w:cs="Arial"/>
                <w:sz w:val="22"/>
                <w:szCs w:val="22"/>
              </w:rPr>
              <w:t>-0.059***</w:t>
            </w:r>
          </w:p>
        </w:tc>
        <w:tc>
          <w:tcPr>
            <w:tcW w:w="1580" w:type="dxa"/>
            <w:noWrap/>
            <w:vAlign w:val="bottom"/>
          </w:tcPr>
          <w:p w:rsidR="007124F0" w:rsidRPr="00FD4A39" w:rsidRDefault="007124F0" w:rsidP="007124F0">
            <w:pPr>
              <w:jc w:val="center"/>
              <w:rPr>
                <w:rFonts w:cs="Arial"/>
                <w:sz w:val="22"/>
                <w:szCs w:val="22"/>
              </w:rPr>
            </w:pPr>
            <w:r w:rsidRPr="00FD4A39">
              <w:rPr>
                <w:rFonts w:cs="Arial"/>
                <w:sz w:val="22"/>
                <w:szCs w:val="22"/>
              </w:rPr>
              <w:t>-0.066***</w:t>
            </w: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680" w:type="dxa"/>
            <w:noWrap/>
          </w:tcPr>
          <w:p w:rsidR="007124F0" w:rsidRPr="005527A5" w:rsidRDefault="007124F0" w:rsidP="0078502E">
            <w:pPr>
              <w:jc w:val="center"/>
              <w:rPr>
                <w:sz w:val="22"/>
                <w:szCs w:val="22"/>
              </w:rPr>
            </w:pPr>
            <w:r w:rsidRPr="005527A5">
              <w:rPr>
                <w:sz w:val="22"/>
                <w:szCs w:val="22"/>
              </w:rPr>
              <w:t>(0.011)</w:t>
            </w:r>
          </w:p>
        </w:tc>
        <w:tc>
          <w:tcPr>
            <w:tcW w:w="1700" w:type="dxa"/>
            <w:noWrap/>
          </w:tcPr>
          <w:p w:rsidR="007124F0" w:rsidRPr="005527A5" w:rsidRDefault="007124F0" w:rsidP="0078502E">
            <w:pPr>
              <w:jc w:val="center"/>
              <w:rPr>
                <w:sz w:val="22"/>
                <w:szCs w:val="22"/>
              </w:rPr>
            </w:pPr>
            <w:r w:rsidRPr="005527A5">
              <w:rPr>
                <w:sz w:val="22"/>
                <w:szCs w:val="22"/>
              </w:rPr>
              <w:t>(0.013)</w:t>
            </w:r>
          </w:p>
        </w:tc>
        <w:tc>
          <w:tcPr>
            <w:tcW w:w="240" w:type="dxa"/>
          </w:tcPr>
          <w:p w:rsidR="007124F0" w:rsidRPr="00FD4A39" w:rsidRDefault="007124F0" w:rsidP="0078502E">
            <w:pPr>
              <w:jc w:val="center"/>
              <w:rPr>
                <w:rFonts w:cs="Arial"/>
                <w:sz w:val="22"/>
                <w:szCs w:val="22"/>
              </w:rPr>
            </w:pPr>
          </w:p>
        </w:tc>
        <w:tc>
          <w:tcPr>
            <w:tcW w:w="1800" w:type="dxa"/>
            <w:noWrap/>
          </w:tcPr>
          <w:p w:rsidR="007124F0" w:rsidRPr="00FD4A39" w:rsidRDefault="007124F0" w:rsidP="0078502E">
            <w:pPr>
              <w:jc w:val="center"/>
              <w:rPr>
                <w:rFonts w:cs="Arial"/>
                <w:sz w:val="22"/>
                <w:szCs w:val="22"/>
              </w:rPr>
            </w:pPr>
            <w:r w:rsidRPr="00FD4A39">
              <w:rPr>
                <w:rFonts w:cs="Arial"/>
                <w:sz w:val="22"/>
                <w:szCs w:val="22"/>
              </w:rPr>
              <w:t>(0.014)</w:t>
            </w:r>
          </w:p>
        </w:tc>
        <w:tc>
          <w:tcPr>
            <w:tcW w:w="1580" w:type="dxa"/>
            <w:noWrap/>
          </w:tcPr>
          <w:p w:rsidR="007124F0" w:rsidRPr="00FD4A39" w:rsidRDefault="007124F0" w:rsidP="0078502E">
            <w:pPr>
              <w:jc w:val="center"/>
              <w:rPr>
                <w:rFonts w:cs="Arial"/>
                <w:sz w:val="22"/>
                <w:szCs w:val="22"/>
              </w:rPr>
            </w:pPr>
            <w:r w:rsidRPr="00FD4A39">
              <w:rPr>
                <w:rFonts w:cs="Arial"/>
                <w:sz w:val="22"/>
                <w:szCs w:val="22"/>
              </w:rPr>
              <w:t>(0.018)</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Profitability</w:t>
            </w:r>
          </w:p>
        </w:tc>
        <w:tc>
          <w:tcPr>
            <w:tcW w:w="1680" w:type="dxa"/>
            <w:noWrap/>
            <w:vAlign w:val="bottom"/>
          </w:tcPr>
          <w:p w:rsidR="007124F0" w:rsidRPr="005527A5" w:rsidRDefault="007124F0" w:rsidP="007124F0">
            <w:pPr>
              <w:jc w:val="center"/>
              <w:rPr>
                <w:sz w:val="22"/>
                <w:szCs w:val="22"/>
              </w:rPr>
            </w:pPr>
            <w:r w:rsidRPr="005527A5">
              <w:rPr>
                <w:sz w:val="22"/>
                <w:szCs w:val="22"/>
              </w:rPr>
              <w:t>0.384</w:t>
            </w:r>
          </w:p>
        </w:tc>
        <w:tc>
          <w:tcPr>
            <w:tcW w:w="1700" w:type="dxa"/>
            <w:noWrap/>
            <w:vAlign w:val="bottom"/>
          </w:tcPr>
          <w:p w:rsidR="007124F0" w:rsidRPr="005527A5" w:rsidRDefault="007124F0" w:rsidP="007124F0">
            <w:pPr>
              <w:jc w:val="center"/>
              <w:rPr>
                <w:sz w:val="22"/>
                <w:szCs w:val="22"/>
              </w:rPr>
            </w:pPr>
            <w:r w:rsidRPr="005527A5">
              <w:rPr>
                <w:sz w:val="22"/>
                <w:szCs w:val="22"/>
              </w:rPr>
              <w:t>0.538</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7124F0" w:rsidP="007124F0">
            <w:pPr>
              <w:jc w:val="center"/>
              <w:rPr>
                <w:rFonts w:cs="Arial"/>
                <w:sz w:val="22"/>
                <w:szCs w:val="22"/>
              </w:rPr>
            </w:pPr>
            <w:r w:rsidRPr="00FD4A39">
              <w:rPr>
                <w:rFonts w:cs="Arial"/>
                <w:sz w:val="22"/>
                <w:szCs w:val="22"/>
              </w:rPr>
              <w:t>0.637</w:t>
            </w:r>
          </w:p>
        </w:tc>
        <w:tc>
          <w:tcPr>
            <w:tcW w:w="1580" w:type="dxa"/>
            <w:noWrap/>
            <w:vAlign w:val="bottom"/>
          </w:tcPr>
          <w:p w:rsidR="007124F0" w:rsidRPr="00FD4A39" w:rsidRDefault="007124F0" w:rsidP="007124F0">
            <w:pPr>
              <w:jc w:val="center"/>
              <w:rPr>
                <w:rFonts w:cs="Arial"/>
                <w:sz w:val="22"/>
                <w:szCs w:val="22"/>
              </w:rPr>
            </w:pPr>
            <w:r w:rsidRPr="00FD4A39">
              <w:rPr>
                <w:rFonts w:cs="Arial"/>
                <w:sz w:val="22"/>
                <w:szCs w:val="22"/>
              </w:rPr>
              <w:t>0.816</w:t>
            </w: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680" w:type="dxa"/>
            <w:noWrap/>
          </w:tcPr>
          <w:p w:rsidR="007124F0" w:rsidRPr="005527A5" w:rsidRDefault="007124F0" w:rsidP="0078502E">
            <w:pPr>
              <w:jc w:val="center"/>
              <w:rPr>
                <w:sz w:val="22"/>
                <w:szCs w:val="22"/>
              </w:rPr>
            </w:pPr>
            <w:r w:rsidRPr="005527A5">
              <w:rPr>
                <w:sz w:val="22"/>
                <w:szCs w:val="22"/>
              </w:rPr>
              <w:t>(0.367)</w:t>
            </w:r>
          </w:p>
        </w:tc>
        <w:tc>
          <w:tcPr>
            <w:tcW w:w="1700" w:type="dxa"/>
            <w:noWrap/>
          </w:tcPr>
          <w:p w:rsidR="007124F0" w:rsidRPr="005527A5" w:rsidRDefault="007124F0" w:rsidP="0078502E">
            <w:pPr>
              <w:jc w:val="center"/>
              <w:rPr>
                <w:sz w:val="22"/>
                <w:szCs w:val="22"/>
              </w:rPr>
            </w:pPr>
            <w:r w:rsidRPr="005527A5">
              <w:rPr>
                <w:sz w:val="22"/>
                <w:szCs w:val="22"/>
              </w:rPr>
              <w:t>(0.423)</w:t>
            </w:r>
          </w:p>
        </w:tc>
        <w:tc>
          <w:tcPr>
            <w:tcW w:w="240" w:type="dxa"/>
          </w:tcPr>
          <w:p w:rsidR="007124F0" w:rsidRPr="00FD4A39" w:rsidRDefault="007124F0" w:rsidP="0078502E">
            <w:pPr>
              <w:jc w:val="center"/>
              <w:rPr>
                <w:rFonts w:cs="Arial"/>
                <w:sz w:val="22"/>
                <w:szCs w:val="22"/>
              </w:rPr>
            </w:pPr>
          </w:p>
        </w:tc>
        <w:tc>
          <w:tcPr>
            <w:tcW w:w="1800" w:type="dxa"/>
            <w:noWrap/>
          </w:tcPr>
          <w:p w:rsidR="007124F0" w:rsidRPr="00FD4A39" w:rsidRDefault="007124F0" w:rsidP="0078502E">
            <w:pPr>
              <w:jc w:val="center"/>
              <w:rPr>
                <w:rFonts w:cs="Arial"/>
                <w:sz w:val="22"/>
                <w:szCs w:val="22"/>
              </w:rPr>
            </w:pPr>
            <w:r w:rsidRPr="00FD4A39">
              <w:rPr>
                <w:rFonts w:cs="Arial"/>
                <w:sz w:val="22"/>
                <w:szCs w:val="22"/>
              </w:rPr>
              <w:t>(0.762)</w:t>
            </w:r>
          </w:p>
        </w:tc>
        <w:tc>
          <w:tcPr>
            <w:tcW w:w="1580" w:type="dxa"/>
            <w:noWrap/>
          </w:tcPr>
          <w:p w:rsidR="007124F0" w:rsidRPr="00FD4A39" w:rsidRDefault="007124F0" w:rsidP="0078502E">
            <w:pPr>
              <w:jc w:val="center"/>
              <w:rPr>
                <w:rFonts w:cs="Arial"/>
                <w:sz w:val="22"/>
                <w:szCs w:val="22"/>
              </w:rPr>
            </w:pPr>
            <w:r w:rsidRPr="00FD4A39">
              <w:rPr>
                <w:rFonts w:cs="Arial"/>
                <w:sz w:val="22"/>
                <w:szCs w:val="22"/>
              </w:rPr>
              <w:t>(0.980)</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EarningsVolatility</w:t>
            </w:r>
          </w:p>
        </w:tc>
        <w:tc>
          <w:tcPr>
            <w:tcW w:w="1680" w:type="dxa"/>
            <w:noWrap/>
            <w:vAlign w:val="bottom"/>
          </w:tcPr>
          <w:p w:rsidR="007124F0" w:rsidRPr="005527A5" w:rsidRDefault="007124F0" w:rsidP="007124F0">
            <w:pPr>
              <w:jc w:val="center"/>
              <w:rPr>
                <w:sz w:val="22"/>
                <w:szCs w:val="22"/>
              </w:rPr>
            </w:pPr>
            <w:r w:rsidRPr="005527A5">
              <w:rPr>
                <w:sz w:val="22"/>
                <w:szCs w:val="22"/>
              </w:rPr>
              <w:t>-0.212</w:t>
            </w:r>
          </w:p>
        </w:tc>
        <w:tc>
          <w:tcPr>
            <w:tcW w:w="1700" w:type="dxa"/>
            <w:noWrap/>
            <w:vAlign w:val="bottom"/>
          </w:tcPr>
          <w:p w:rsidR="007124F0" w:rsidRPr="005527A5" w:rsidRDefault="007124F0" w:rsidP="007124F0">
            <w:pPr>
              <w:jc w:val="center"/>
              <w:rPr>
                <w:sz w:val="22"/>
                <w:szCs w:val="22"/>
              </w:rPr>
            </w:pPr>
            <w:r w:rsidRPr="005527A5">
              <w:rPr>
                <w:sz w:val="22"/>
                <w:szCs w:val="22"/>
              </w:rPr>
              <w:t>-0.262</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7124F0" w:rsidP="007124F0">
            <w:pPr>
              <w:jc w:val="center"/>
              <w:rPr>
                <w:rFonts w:cs="Arial"/>
                <w:sz w:val="22"/>
                <w:szCs w:val="22"/>
              </w:rPr>
            </w:pPr>
            <w:r w:rsidRPr="00FD4A39">
              <w:rPr>
                <w:rFonts w:cs="Arial"/>
                <w:sz w:val="22"/>
                <w:szCs w:val="22"/>
              </w:rPr>
              <w:t>0.588</w:t>
            </w:r>
          </w:p>
        </w:tc>
        <w:tc>
          <w:tcPr>
            <w:tcW w:w="1580" w:type="dxa"/>
            <w:noWrap/>
            <w:vAlign w:val="bottom"/>
          </w:tcPr>
          <w:p w:rsidR="007124F0" w:rsidRPr="00FD4A39" w:rsidRDefault="007124F0" w:rsidP="007124F0">
            <w:pPr>
              <w:jc w:val="center"/>
              <w:rPr>
                <w:rFonts w:cs="Arial"/>
                <w:sz w:val="22"/>
                <w:szCs w:val="22"/>
              </w:rPr>
            </w:pPr>
            <w:r w:rsidRPr="00FD4A39">
              <w:rPr>
                <w:rFonts w:cs="Arial"/>
                <w:sz w:val="22"/>
                <w:szCs w:val="22"/>
              </w:rPr>
              <w:t>0.902</w:t>
            </w: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680" w:type="dxa"/>
            <w:noWrap/>
          </w:tcPr>
          <w:p w:rsidR="007124F0" w:rsidRPr="005527A5" w:rsidRDefault="007124F0" w:rsidP="0078502E">
            <w:pPr>
              <w:jc w:val="center"/>
              <w:rPr>
                <w:sz w:val="22"/>
                <w:szCs w:val="22"/>
              </w:rPr>
            </w:pPr>
            <w:r w:rsidRPr="005527A5">
              <w:rPr>
                <w:sz w:val="22"/>
                <w:szCs w:val="22"/>
              </w:rPr>
              <w:t>(0.383)</w:t>
            </w:r>
          </w:p>
        </w:tc>
        <w:tc>
          <w:tcPr>
            <w:tcW w:w="1700" w:type="dxa"/>
            <w:noWrap/>
          </w:tcPr>
          <w:p w:rsidR="007124F0" w:rsidRPr="005527A5" w:rsidRDefault="007124F0" w:rsidP="0078502E">
            <w:pPr>
              <w:jc w:val="center"/>
              <w:rPr>
                <w:sz w:val="22"/>
                <w:szCs w:val="22"/>
              </w:rPr>
            </w:pPr>
            <w:r w:rsidRPr="005527A5">
              <w:rPr>
                <w:sz w:val="22"/>
                <w:szCs w:val="22"/>
              </w:rPr>
              <w:t>(0.438)</w:t>
            </w:r>
          </w:p>
        </w:tc>
        <w:tc>
          <w:tcPr>
            <w:tcW w:w="240" w:type="dxa"/>
          </w:tcPr>
          <w:p w:rsidR="007124F0" w:rsidRPr="00FD4A39" w:rsidRDefault="007124F0" w:rsidP="0078502E">
            <w:pPr>
              <w:jc w:val="center"/>
              <w:rPr>
                <w:rFonts w:cs="Arial"/>
                <w:sz w:val="22"/>
                <w:szCs w:val="22"/>
              </w:rPr>
            </w:pPr>
          </w:p>
        </w:tc>
        <w:tc>
          <w:tcPr>
            <w:tcW w:w="1800" w:type="dxa"/>
            <w:noWrap/>
          </w:tcPr>
          <w:p w:rsidR="007124F0" w:rsidRPr="00FD4A39" w:rsidRDefault="007124F0" w:rsidP="0078502E">
            <w:pPr>
              <w:jc w:val="center"/>
              <w:rPr>
                <w:rFonts w:cs="Arial"/>
                <w:sz w:val="22"/>
                <w:szCs w:val="22"/>
              </w:rPr>
            </w:pPr>
            <w:r w:rsidRPr="00FD4A39">
              <w:rPr>
                <w:rFonts w:cs="Arial"/>
                <w:sz w:val="22"/>
                <w:szCs w:val="22"/>
              </w:rPr>
              <w:t>(0.751)</w:t>
            </w:r>
          </w:p>
        </w:tc>
        <w:tc>
          <w:tcPr>
            <w:tcW w:w="1580" w:type="dxa"/>
            <w:noWrap/>
          </w:tcPr>
          <w:p w:rsidR="007124F0" w:rsidRPr="00FD4A39" w:rsidRDefault="007124F0" w:rsidP="0078502E">
            <w:pPr>
              <w:jc w:val="center"/>
              <w:rPr>
                <w:rFonts w:cs="Arial"/>
                <w:sz w:val="22"/>
                <w:szCs w:val="22"/>
              </w:rPr>
            </w:pPr>
            <w:r w:rsidRPr="00FD4A39">
              <w:rPr>
                <w:rFonts w:cs="Arial"/>
                <w:sz w:val="22"/>
                <w:szCs w:val="22"/>
              </w:rPr>
              <w:t>(0.925)</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FirmAge</w:t>
            </w:r>
          </w:p>
        </w:tc>
        <w:tc>
          <w:tcPr>
            <w:tcW w:w="1680" w:type="dxa"/>
            <w:noWrap/>
            <w:vAlign w:val="bottom"/>
          </w:tcPr>
          <w:p w:rsidR="007124F0" w:rsidRPr="005527A5" w:rsidRDefault="007124F0" w:rsidP="007124F0">
            <w:pPr>
              <w:jc w:val="center"/>
              <w:rPr>
                <w:sz w:val="22"/>
                <w:szCs w:val="22"/>
              </w:rPr>
            </w:pPr>
            <w:r w:rsidRPr="005527A5">
              <w:rPr>
                <w:sz w:val="22"/>
                <w:szCs w:val="22"/>
              </w:rPr>
              <w:t>-0.026**</w:t>
            </w:r>
          </w:p>
        </w:tc>
        <w:tc>
          <w:tcPr>
            <w:tcW w:w="1700" w:type="dxa"/>
            <w:noWrap/>
            <w:vAlign w:val="bottom"/>
          </w:tcPr>
          <w:p w:rsidR="007124F0" w:rsidRPr="005527A5" w:rsidRDefault="007124F0" w:rsidP="007124F0">
            <w:pPr>
              <w:jc w:val="center"/>
              <w:rPr>
                <w:sz w:val="22"/>
                <w:szCs w:val="22"/>
              </w:rPr>
            </w:pPr>
            <w:r w:rsidRPr="005527A5">
              <w:rPr>
                <w:sz w:val="22"/>
                <w:szCs w:val="22"/>
              </w:rPr>
              <w:t>-0.040***</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7124F0" w:rsidP="007124F0">
            <w:pPr>
              <w:jc w:val="center"/>
              <w:rPr>
                <w:rFonts w:cs="Arial"/>
                <w:sz w:val="22"/>
                <w:szCs w:val="22"/>
              </w:rPr>
            </w:pPr>
            <w:r w:rsidRPr="00FD4A39">
              <w:rPr>
                <w:rFonts w:cs="Arial"/>
                <w:sz w:val="22"/>
                <w:szCs w:val="22"/>
              </w:rPr>
              <w:t>-0.039**</w:t>
            </w:r>
          </w:p>
        </w:tc>
        <w:tc>
          <w:tcPr>
            <w:tcW w:w="1580" w:type="dxa"/>
            <w:noWrap/>
            <w:vAlign w:val="bottom"/>
          </w:tcPr>
          <w:p w:rsidR="007124F0" w:rsidRPr="00FD4A39" w:rsidRDefault="007124F0" w:rsidP="007124F0">
            <w:pPr>
              <w:jc w:val="center"/>
              <w:rPr>
                <w:rFonts w:cs="Arial"/>
                <w:sz w:val="22"/>
                <w:szCs w:val="22"/>
              </w:rPr>
            </w:pPr>
            <w:r w:rsidRPr="00FD4A39">
              <w:rPr>
                <w:rFonts w:cs="Arial"/>
                <w:sz w:val="22"/>
                <w:szCs w:val="22"/>
              </w:rPr>
              <w:t>-0.057**</w:t>
            </w:r>
          </w:p>
        </w:tc>
      </w:tr>
      <w:tr w:rsidR="007124F0" w:rsidRPr="00FD4A39" w:rsidTr="007B45DF">
        <w:trPr>
          <w:trHeight w:val="264"/>
        </w:trPr>
        <w:tc>
          <w:tcPr>
            <w:tcW w:w="2508" w:type="dxa"/>
            <w:noWrap/>
          </w:tcPr>
          <w:p w:rsidR="007124F0" w:rsidRPr="00FD4A39" w:rsidRDefault="007124F0" w:rsidP="0078502E">
            <w:pPr>
              <w:jc w:val="center"/>
              <w:rPr>
                <w:rFonts w:cs="Arial"/>
                <w:sz w:val="22"/>
                <w:szCs w:val="22"/>
              </w:rPr>
            </w:pPr>
          </w:p>
        </w:tc>
        <w:tc>
          <w:tcPr>
            <w:tcW w:w="1680" w:type="dxa"/>
            <w:noWrap/>
          </w:tcPr>
          <w:p w:rsidR="007124F0" w:rsidRPr="005527A5" w:rsidRDefault="007124F0" w:rsidP="0078502E">
            <w:pPr>
              <w:jc w:val="center"/>
              <w:rPr>
                <w:sz w:val="22"/>
                <w:szCs w:val="22"/>
              </w:rPr>
            </w:pPr>
            <w:r w:rsidRPr="005527A5">
              <w:rPr>
                <w:sz w:val="22"/>
                <w:szCs w:val="22"/>
              </w:rPr>
              <w:t>(0.013)</w:t>
            </w:r>
          </w:p>
        </w:tc>
        <w:tc>
          <w:tcPr>
            <w:tcW w:w="1700" w:type="dxa"/>
            <w:noWrap/>
          </w:tcPr>
          <w:p w:rsidR="007124F0" w:rsidRPr="005527A5" w:rsidRDefault="007124F0" w:rsidP="0078502E">
            <w:pPr>
              <w:jc w:val="center"/>
              <w:rPr>
                <w:sz w:val="22"/>
                <w:szCs w:val="22"/>
              </w:rPr>
            </w:pPr>
            <w:r w:rsidRPr="005527A5">
              <w:rPr>
                <w:sz w:val="22"/>
                <w:szCs w:val="22"/>
              </w:rPr>
              <w:t>(0.014)</w:t>
            </w:r>
          </w:p>
        </w:tc>
        <w:tc>
          <w:tcPr>
            <w:tcW w:w="240" w:type="dxa"/>
          </w:tcPr>
          <w:p w:rsidR="007124F0" w:rsidRPr="00FD4A39" w:rsidRDefault="007124F0" w:rsidP="0078502E">
            <w:pPr>
              <w:jc w:val="center"/>
              <w:rPr>
                <w:rFonts w:cs="Arial"/>
                <w:sz w:val="22"/>
                <w:szCs w:val="22"/>
              </w:rPr>
            </w:pPr>
          </w:p>
        </w:tc>
        <w:tc>
          <w:tcPr>
            <w:tcW w:w="1800" w:type="dxa"/>
            <w:noWrap/>
          </w:tcPr>
          <w:p w:rsidR="007124F0" w:rsidRPr="00FD4A39" w:rsidRDefault="007124F0" w:rsidP="0078502E">
            <w:pPr>
              <w:jc w:val="center"/>
              <w:rPr>
                <w:rFonts w:cs="Arial"/>
                <w:sz w:val="22"/>
                <w:szCs w:val="22"/>
              </w:rPr>
            </w:pPr>
            <w:r w:rsidRPr="00FD4A39">
              <w:rPr>
                <w:rFonts w:cs="Arial"/>
                <w:sz w:val="22"/>
                <w:szCs w:val="22"/>
              </w:rPr>
              <w:t>(0.019)</w:t>
            </w:r>
          </w:p>
        </w:tc>
        <w:tc>
          <w:tcPr>
            <w:tcW w:w="1580" w:type="dxa"/>
            <w:noWrap/>
          </w:tcPr>
          <w:p w:rsidR="007124F0" w:rsidRPr="00FD4A39" w:rsidRDefault="007124F0" w:rsidP="0078502E">
            <w:pPr>
              <w:jc w:val="center"/>
              <w:rPr>
                <w:rFonts w:cs="Arial"/>
                <w:sz w:val="22"/>
                <w:szCs w:val="22"/>
              </w:rPr>
            </w:pPr>
            <w:r w:rsidRPr="00FD4A39">
              <w:rPr>
                <w:rFonts w:cs="Arial"/>
                <w:sz w:val="22"/>
                <w:szCs w:val="22"/>
              </w:rPr>
              <w:t>(0.023)</w:t>
            </w:r>
          </w:p>
        </w:tc>
      </w:tr>
      <w:tr w:rsidR="007124F0" w:rsidRPr="00FD4A39" w:rsidTr="007B45DF">
        <w:trPr>
          <w:trHeight w:val="264"/>
        </w:trPr>
        <w:tc>
          <w:tcPr>
            <w:tcW w:w="2508" w:type="dxa"/>
            <w:tcBorders>
              <w:bottom w:val="single" w:sz="8" w:space="0" w:color="auto"/>
            </w:tcBorders>
            <w:noWrap/>
            <w:vAlign w:val="bottom"/>
          </w:tcPr>
          <w:p w:rsidR="007124F0" w:rsidRPr="00FD4A39" w:rsidRDefault="007124F0" w:rsidP="007124F0">
            <w:pPr>
              <w:rPr>
                <w:rFonts w:cs="Arial"/>
                <w:sz w:val="22"/>
                <w:szCs w:val="22"/>
              </w:rPr>
            </w:pPr>
          </w:p>
        </w:tc>
        <w:tc>
          <w:tcPr>
            <w:tcW w:w="1680"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700"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240" w:type="dxa"/>
            <w:tcBorders>
              <w:bottom w:val="single" w:sz="8" w:space="0" w:color="auto"/>
            </w:tcBorders>
          </w:tcPr>
          <w:p w:rsidR="007124F0" w:rsidRPr="00FD4A39" w:rsidRDefault="007124F0" w:rsidP="007124F0">
            <w:pPr>
              <w:jc w:val="center"/>
              <w:rPr>
                <w:rFonts w:cs="Arial"/>
                <w:sz w:val="22"/>
                <w:szCs w:val="22"/>
              </w:rPr>
            </w:pPr>
          </w:p>
        </w:tc>
        <w:tc>
          <w:tcPr>
            <w:tcW w:w="1800"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580" w:type="dxa"/>
            <w:tcBorders>
              <w:bottom w:val="single" w:sz="8" w:space="0" w:color="auto"/>
            </w:tcBorders>
            <w:noWrap/>
            <w:vAlign w:val="bottom"/>
          </w:tcPr>
          <w:p w:rsidR="007124F0" w:rsidRPr="00FD4A39" w:rsidRDefault="007124F0" w:rsidP="007124F0">
            <w:pPr>
              <w:jc w:val="center"/>
              <w:rPr>
                <w:rFonts w:cs="Arial"/>
                <w:sz w:val="22"/>
                <w:szCs w:val="22"/>
              </w:rPr>
            </w:pPr>
          </w:p>
        </w:tc>
      </w:tr>
      <w:tr w:rsidR="007124F0" w:rsidRPr="00FD4A39" w:rsidTr="007B45DF">
        <w:trPr>
          <w:trHeight w:val="264"/>
        </w:trPr>
        <w:tc>
          <w:tcPr>
            <w:tcW w:w="2508" w:type="dxa"/>
            <w:tcBorders>
              <w:top w:val="single" w:sz="8" w:space="0" w:color="auto"/>
            </w:tcBorders>
            <w:noWrap/>
            <w:vAlign w:val="bottom"/>
          </w:tcPr>
          <w:p w:rsidR="007124F0" w:rsidRPr="00FD4A39" w:rsidRDefault="007124F0" w:rsidP="007124F0">
            <w:pPr>
              <w:rPr>
                <w:rFonts w:cs="Arial"/>
                <w:i/>
                <w:sz w:val="22"/>
                <w:szCs w:val="22"/>
              </w:rPr>
            </w:pPr>
            <w:r w:rsidRPr="00FD4A39">
              <w:rPr>
                <w:rFonts w:cs="Arial"/>
                <w:i/>
                <w:sz w:val="22"/>
                <w:szCs w:val="22"/>
              </w:rPr>
              <w:t>Obs.</w:t>
            </w:r>
          </w:p>
        </w:tc>
        <w:tc>
          <w:tcPr>
            <w:tcW w:w="1680" w:type="dxa"/>
            <w:tcBorders>
              <w:top w:val="single" w:sz="8" w:space="0" w:color="auto"/>
            </w:tcBorders>
            <w:noWrap/>
            <w:vAlign w:val="bottom"/>
          </w:tcPr>
          <w:p w:rsidR="007124F0" w:rsidRPr="005527A5" w:rsidRDefault="007124F0" w:rsidP="007124F0">
            <w:pPr>
              <w:jc w:val="center"/>
              <w:rPr>
                <w:sz w:val="22"/>
                <w:szCs w:val="22"/>
              </w:rPr>
            </w:pPr>
            <w:r w:rsidRPr="005527A5">
              <w:rPr>
                <w:sz w:val="22"/>
                <w:szCs w:val="22"/>
              </w:rPr>
              <w:t>1,162</w:t>
            </w:r>
          </w:p>
        </w:tc>
        <w:tc>
          <w:tcPr>
            <w:tcW w:w="1700" w:type="dxa"/>
            <w:tcBorders>
              <w:top w:val="single" w:sz="8" w:space="0" w:color="auto"/>
            </w:tcBorders>
            <w:noWrap/>
            <w:vAlign w:val="bottom"/>
          </w:tcPr>
          <w:p w:rsidR="007124F0" w:rsidRPr="005527A5" w:rsidRDefault="007124F0" w:rsidP="007124F0">
            <w:pPr>
              <w:jc w:val="center"/>
              <w:rPr>
                <w:sz w:val="22"/>
                <w:szCs w:val="22"/>
              </w:rPr>
            </w:pPr>
            <w:r w:rsidRPr="005527A5">
              <w:rPr>
                <w:sz w:val="22"/>
                <w:szCs w:val="22"/>
              </w:rPr>
              <w:t>1,162</w:t>
            </w:r>
          </w:p>
        </w:tc>
        <w:tc>
          <w:tcPr>
            <w:tcW w:w="240" w:type="dxa"/>
            <w:tcBorders>
              <w:top w:val="single" w:sz="8" w:space="0" w:color="auto"/>
            </w:tcBorders>
          </w:tcPr>
          <w:p w:rsidR="007124F0" w:rsidRPr="00FD4A39" w:rsidRDefault="007124F0" w:rsidP="007124F0">
            <w:pPr>
              <w:jc w:val="center"/>
              <w:rPr>
                <w:rFonts w:cs="Arial"/>
                <w:sz w:val="22"/>
                <w:szCs w:val="22"/>
              </w:rPr>
            </w:pPr>
          </w:p>
        </w:tc>
        <w:tc>
          <w:tcPr>
            <w:tcW w:w="1800"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1580"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r>
      <w:tr w:rsidR="007124F0" w:rsidRPr="00FD4A39" w:rsidTr="007B45DF">
        <w:trPr>
          <w:trHeight w:val="264"/>
        </w:trPr>
        <w:tc>
          <w:tcPr>
            <w:tcW w:w="2508" w:type="dxa"/>
            <w:noWrap/>
            <w:vAlign w:val="bottom"/>
          </w:tcPr>
          <w:p w:rsidR="00582EC7" w:rsidRPr="00582EC7" w:rsidRDefault="00582EC7" w:rsidP="007124F0">
            <w:pPr>
              <w:rPr>
                <w:rFonts w:cs="Arial"/>
                <w:i/>
                <w:sz w:val="10"/>
                <w:szCs w:val="10"/>
              </w:rPr>
            </w:pPr>
          </w:p>
          <w:p w:rsidR="007124F0" w:rsidRPr="00FD4A39" w:rsidRDefault="007124F0" w:rsidP="007124F0">
            <w:pPr>
              <w:rPr>
                <w:rFonts w:cs="Arial"/>
                <w:i/>
                <w:sz w:val="22"/>
                <w:szCs w:val="22"/>
              </w:rPr>
            </w:pPr>
            <w:r w:rsidRPr="00FD4A39">
              <w:rPr>
                <w:rFonts w:cs="Arial"/>
                <w:i/>
                <w:sz w:val="22"/>
                <w:szCs w:val="22"/>
              </w:rPr>
              <w:t>R</w:t>
            </w:r>
            <w:r w:rsidRPr="00FD4A39">
              <w:rPr>
                <w:rFonts w:cs="Arial"/>
                <w:i/>
                <w:sz w:val="22"/>
                <w:szCs w:val="22"/>
                <w:vertAlign w:val="superscript"/>
              </w:rPr>
              <w:t>2</w:t>
            </w:r>
          </w:p>
        </w:tc>
        <w:tc>
          <w:tcPr>
            <w:tcW w:w="1680" w:type="dxa"/>
            <w:noWrap/>
            <w:vAlign w:val="bottom"/>
          </w:tcPr>
          <w:p w:rsidR="007124F0" w:rsidRPr="005527A5" w:rsidRDefault="007124F0" w:rsidP="007124F0">
            <w:pPr>
              <w:jc w:val="center"/>
              <w:rPr>
                <w:sz w:val="22"/>
                <w:szCs w:val="22"/>
              </w:rPr>
            </w:pPr>
            <w:r w:rsidRPr="005527A5">
              <w:rPr>
                <w:sz w:val="22"/>
                <w:szCs w:val="22"/>
              </w:rPr>
              <w:t>0.342</w:t>
            </w:r>
          </w:p>
        </w:tc>
        <w:tc>
          <w:tcPr>
            <w:tcW w:w="1700" w:type="dxa"/>
            <w:noWrap/>
            <w:vAlign w:val="bottom"/>
          </w:tcPr>
          <w:p w:rsidR="007124F0" w:rsidRPr="005527A5" w:rsidRDefault="007124F0" w:rsidP="007124F0">
            <w:pPr>
              <w:jc w:val="center"/>
              <w:rPr>
                <w:sz w:val="22"/>
                <w:szCs w:val="22"/>
              </w:rPr>
            </w:pPr>
            <w:r w:rsidRPr="005527A5">
              <w:rPr>
                <w:sz w:val="22"/>
                <w:szCs w:val="22"/>
              </w:rPr>
              <w:t>0.330</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7124F0" w:rsidP="007124F0">
            <w:pPr>
              <w:jc w:val="center"/>
              <w:rPr>
                <w:rFonts w:cs="Arial"/>
                <w:sz w:val="22"/>
                <w:szCs w:val="22"/>
              </w:rPr>
            </w:pPr>
            <w:r w:rsidRPr="00FD4A39">
              <w:rPr>
                <w:rFonts w:cs="Arial"/>
                <w:sz w:val="22"/>
                <w:szCs w:val="22"/>
              </w:rPr>
              <w:t>N.A.</w:t>
            </w:r>
          </w:p>
        </w:tc>
        <w:tc>
          <w:tcPr>
            <w:tcW w:w="1580" w:type="dxa"/>
            <w:noWrap/>
            <w:vAlign w:val="bottom"/>
          </w:tcPr>
          <w:p w:rsidR="007124F0" w:rsidRPr="00FD4A39" w:rsidRDefault="007124F0" w:rsidP="007124F0">
            <w:pPr>
              <w:jc w:val="center"/>
              <w:rPr>
                <w:rFonts w:cs="Arial"/>
                <w:sz w:val="22"/>
                <w:szCs w:val="22"/>
              </w:rPr>
            </w:pPr>
            <w:r w:rsidRPr="00FD4A39">
              <w:rPr>
                <w:rFonts w:cs="Arial"/>
                <w:sz w:val="22"/>
                <w:szCs w:val="22"/>
              </w:rPr>
              <w:t>N.A.</w:t>
            </w:r>
          </w:p>
        </w:tc>
      </w:tr>
      <w:tr w:rsidR="007124F0" w:rsidRPr="00FD4A39" w:rsidTr="007B45DF">
        <w:trPr>
          <w:trHeight w:val="264"/>
        </w:trPr>
        <w:tc>
          <w:tcPr>
            <w:tcW w:w="2508" w:type="dxa"/>
            <w:noWrap/>
            <w:vAlign w:val="bottom"/>
          </w:tcPr>
          <w:p w:rsidR="00582EC7" w:rsidRDefault="00582EC7" w:rsidP="007124F0">
            <w:pPr>
              <w:rPr>
                <w:rFonts w:cs="Arial"/>
                <w:i/>
                <w:sz w:val="10"/>
                <w:szCs w:val="10"/>
              </w:rPr>
            </w:pPr>
          </w:p>
          <w:p w:rsidR="007124F0" w:rsidRPr="00FD4A39" w:rsidRDefault="007124F0" w:rsidP="007124F0">
            <w:pPr>
              <w:rPr>
                <w:rFonts w:cs="Arial"/>
                <w:i/>
                <w:sz w:val="22"/>
                <w:szCs w:val="22"/>
              </w:rPr>
            </w:pPr>
            <w:r w:rsidRPr="00FD4A39">
              <w:rPr>
                <w:rFonts w:cs="Arial"/>
                <w:i/>
                <w:sz w:val="22"/>
                <w:szCs w:val="22"/>
              </w:rPr>
              <w:t>F-</w:t>
            </w:r>
            <w:r w:rsidRPr="00FD4A39">
              <w:rPr>
                <w:rFonts w:cs="Arial"/>
                <w:sz w:val="22"/>
                <w:szCs w:val="22"/>
              </w:rPr>
              <w:t>test</w:t>
            </w:r>
            <w:r w:rsidRPr="00FD4A39">
              <w:rPr>
                <w:rFonts w:cs="Arial"/>
                <w:i/>
                <w:sz w:val="22"/>
                <w:szCs w:val="22"/>
              </w:rPr>
              <w:t xml:space="preserve"> </w:t>
            </w:r>
            <w:r w:rsidRPr="00FD4A39">
              <w:rPr>
                <w:rFonts w:cs="Arial"/>
                <w:sz w:val="22"/>
                <w:szCs w:val="22"/>
              </w:rPr>
              <w:t>(H</w:t>
            </w:r>
            <w:r w:rsidRPr="00FD4A39">
              <w:rPr>
                <w:rFonts w:cs="Arial"/>
                <w:sz w:val="22"/>
                <w:szCs w:val="22"/>
                <w:vertAlign w:val="subscript"/>
              </w:rPr>
              <w:t>0</w:t>
            </w:r>
            <w:r w:rsidR="0078502E">
              <w:rPr>
                <w:rFonts w:cs="Arial"/>
                <w:sz w:val="22"/>
                <w:szCs w:val="22"/>
              </w:rPr>
              <w:t>: Coeff</w:t>
            </w:r>
            <w:r w:rsidRPr="00FD4A39">
              <w:rPr>
                <w:rFonts w:cs="Arial"/>
                <w:sz w:val="22"/>
                <w:szCs w:val="22"/>
              </w:rPr>
              <w:t>s=0)</w:t>
            </w:r>
          </w:p>
        </w:tc>
        <w:tc>
          <w:tcPr>
            <w:tcW w:w="1680" w:type="dxa"/>
            <w:noWrap/>
            <w:vAlign w:val="bottom"/>
          </w:tcPr>
          <w:p w:rsidR="007124F0" w:rsidRPr="005527A5" w:rsidRDefault="00582EC7" w:rsidP="007124F0">
            <w:pPr>
              <w:jc w:val="center"/>
              <w:rPr>
                <w:sz w:val="22"/>
                <w:szCs w:val="22"/>
              </w:rPr>
            </w:pPr>
            <w:r>
              <w:rPr>
                <w:sz w:val="22"/>
                <w:szCs w:val="22"/>
              </w:rPr>
              <w:t>0</w:t>
            </w:r>
            <w:r w:rsidR="007124F0" w:rsidRPr="005527A5">
              <w:rPr>
                <w:sz w:val="22"/>
                <w:szCs w:val="22"/>
              </w:rPr>
              <w:t>.</w:t>
            </w:r>
            <w:r>
              <w:rPr>
                <w:sz w:val="22"/>
                <w:szCs w:val="22"/>
              </w:rPr>
              <w:t>000</w:t>
            </w:r>
          </w:p>
        </w:tc>
        <w:tc>
          <w:tcPr>
            <w:tcW w:w="1700" w:type="dxa"/>
            <w:noWrap/>
            <w:vAlign w:val="bottom"/>
          </w:tcPr>
          <w:p w:rsidR="007124F0" w:rsidRPr="005527A5" w:rsidRDefault="00582EC7" w:rsidP="007124F0">
            <w:pPr>
              <w:jc w:val="center"/>
              <w:rPr>
                <w:sz w:val="22"/>
                <w:szCs w:val="22"/>
              </w:rPr>
            </w:pPr>
            <w:r>
              <w:rPr>
                <w:sz w:val="22"/>
                <w:szCs w:val="22"/>
              </w:rPr>
              <w:t>0</w:t>
            </w:r>
            <w:r w:rsidR="007124F0" w:rsidRPr="005527A5">
              <w:rPr>
                <w:sz w:val="22"/>
                <w:szCs w:val="22"/>
              </w:rPr>
              <w:t>.</w:t>
            </w:r>
            <w:r>
              <w:rPr>
                <w:sz w:val="22"/>
                <w:szCs w:val="22"/>
              </w:rPr>
              <w:t>000</w:t>
            </w:r>
          </w:p>
        </w:tc>
        <w:tc>
          <w:tcPr>
            <w:tcW w:w="240" w:type="dxa"/>
          </w:tcPr>
          <w:p w:rsidR="007124F0" w:rsidRPr="00FD4A39" w:rsidRDefault="007124F0" w:rsidP="007124F0">
            <w:pPr>
              <w:jc w:val="center"/>
              <w:rPr>
                <w:rFonts w:cs="Arial"/>
                <w:sz w:val="22"/>
                <w:szCs w:val="22"/>
              </w:rPr>
            </w:pPr>
          </w:p>
        </w:tc>
        <w:tc>
          <w:tcPr>
            <w:tcW w:w="1800" w:type="dxa"/>
            <w:noWrap/>
            <w:vAlign w:val="bottom"/>
          </w:tcPr>
          <w:p w:rsidR="007124F0" w:rsidRPr="00FD4A39" w:rsidRDefault="00582EC7" w:rsidP="007124F0">
            <w:pPr>
              <w:jc w:val="center"/>
              <w:rPr>
                <w:rFonts w:cs="Arial"/>
                <w:sz w:val="22"/>
                <w:szCs w:val="22"/>
              </w:rPr>
            </w:pPr>
            <w:r>
              <w:rPr>
                <w:rFonts w:cs="Arial"/>
                <w:sz w:val="22"/>
                <w:szCs w:val="22"/>
              </w:rPr>
              <w:t>0</w:t>
            </w:r>
            <w:r w:rsidR="007124F0" w:rsidRPr="00FD4A39">
              <w:rPr>
                <w:rFonts w:cs="Arial"/>
                <w:sz w:val="22"/>
                <w:szCs w:val="22"/>
              </w:rPr>
              <w:t>.</w:t>
            </w:r>
            <w:r>
              <w:rPr>
                <w:rFonts w:cs="Arial"/>
                <w:sz w:val="22"/>
                <w:szCs w:val="22"/>
              </w:rPr>
              <w:t>000</w:t>
            </w:r>
          </w:p>
        </w:tc>
        <w:tc>
          <w:tcPr>
            <w:tcW w:w="1580" w:type="dxa"/>
            <w:noWrap/>
            <w:vAlign w:val="bottom"/>
          </w:tcPr>
          <w:p w:rsidR="007124F0" w:rsidRPr="00FD4A39" w:rsidRDefault="00582EC7" w:rsidP="007124F0">
            <w:pPr>
              <w:jc w:val="center"/>
              <w:rPr>
                <w:rFonts w:cs="Arial"/>
                <w:sz w:val="22"/>
                <w:szCs w:val="22"/>
              </w:rPr>
            </w:pPr>
            <w:r>
              <w:rPr>
                <w:rFonts w:cs="Arial"/>
                <w:sz w:val="22"/>
                <w:szCs w:val="22"/>
              </w:rPr>
              <w:t>0</w:t>
            </w:r>
            <w:r w:rsidR="007124F0" w:rsidRPr="00FD4A39">
              <w:rPr>
                <w:rFonts w:cs="Arial"/>
                <w:sz w:val="22"/>
                <w:szCs w:val="22"/>
              </w:rPr>
              <w:t>.</w:t>
            </w:r>
            <w:r>
              <w:rPr>
                <w:rFonts w:cs="Arial"/>
                <w:sz w:val="22"/>
                <w:szCs w:val="22"/>
              </w:rPr>
              <w:t>000</w:t>
            </w:r>
          </w:p>
        </w:tc>
      </w:tr>
      <w:tr w:rsidR="007124F0" w:rsidRPr="00FD4A39" w:rsidTr="00582EC7">
        <w:trPr>
          <w:trHeight w:val="264"/>
        </w:trPr>
        <w:tc>
          <w:tcPr>
            <w:tcW w:w="2508" w:type="dxa"/>
            <w:noWrap/>
            <w:vAlign w:val="bottom"/>
          </w:tcPr>
          <w:p w:rsidR="00582EC7" w:rsidRDefault="00582EC7" w:rsidP="007124F0">
            <w:pPr>
              <w:rPr>
                <w:rFonts w:cs="Arial"/>
                <w:sz w:val="10"/>
                <w:szCs w:val="10"/>
              </w:rPr>
            </w:pPr>
          </w:p>
          <w:p w:rsidR="007B45DF" w:rsidRDefault="007124F0" w:rsidP="007124F0">
            <w:pPr>
              <w:rPr>
                <w:rFonts w:cs="Arial"/>
                <w:sz w:val="22"/>
                <w:szCs w:val="22"/>
              </w:rPr>
            </w:pPr>
            <w:r w:rsidRPr="00FD4A39">
              <w:rPr>
                <w:rFonts w:cs="Arial"/>
                <w:sz w:val="22"/>
                <w:szCs w:val="22"/>
              </w:rPr>
              <w:t xml:space="preserve">Hansen’s </w:t>
            </w:r>
            <w:r w:rsidRPr="00FD4A39">
              <w:rPr>
                <w:rFonts w:cs="Arial"/>
                <w:i/>
                <w:iCs/>
                <w:sz w:val="22"/>
                <w:szCs w:val="22"/>
              </w:rPr>
              <w:t>J</w:t>
            </w:r>
            <w:r w:rsidR="0078502E">
              <w:rPr>
                <w:rFonts w:cs="Arial"/>
                <w:sz w:val="22"/>
                <w:szCs w:val="22"/>
              </w:rPr>
              <w:t>-Statistic</w:t>
            </w:r>
            <w:r w:rsidRPr="00FD4A39">
              <w:rPr>
                <w:rFonts w:cs="Arial"/>
                <w:sz w:val="22"/>
                <w:szCs w:val="22"/>
              </w:rPr>
              <w:t xml:space="preserve"> </w:t>
            </w:r>
          </w:p>
          <w:p w:rsidR="007124F0" w:rsidRPr="00FD4A39" w:rsidRDefault="0078502E" w:rsidP="007124F0">
            <w:pPr>
              <w:rPr>
                <w:rFonts w:cs="Arial"/>
                <w:i/>
                <w:sz w:val="22"/>
                <w:szCs w:val="22"/>
              </w:rPr>
            </w:pPr>
            <w:r>
              <w:rPr>
                <w:rFonts w:cs="Arial"/>
                <w:sz w:val="22"/>
                <w:szCs w:val="22"/>
              </w:rPr>
              <w:t>(</w:t>
            </w:r>
            <w:r w:rsidR="007124F0" w:rsidRPr="00FD4A39">
              <w:rPr>
                <w:rFonts w:cs="Arial"/>
                <w:i/>
                <w:sz w:val="22"/>
                <w:szCs w:val="22"/>
              </w:rPr>
              <w:t>P</w:t>
            </w:r>
            <w:r w:rsidR="007124F0" w:rsidRPr="00FD4A39">
              <w:rPr>
                <w:rFonts w:cs="Arial"/>
                <w:sz w:val="22"/>
                <w:szCs w:val="22"/>
              </w:rPr>
              <w:t>-Value</w:t>
            </w:r>
            <w:r>
              <w:rPr>
                <w:rFonts w:cs="Arial"/>
                <w:sz w:val="22"/>
                <w:szCs w:val="22"/>
              </w:rPr>
              <w:t>)</w:t>
            </w:r>
          </w:p>
        </w:tc>
        <w:tc>
          <w:tcPr>
            <w:tcW w:w="1680" w:type="dxa"/>
            <w:noWrap/>
            <w:vAlign w:val="bottom"/>
          </w:tcPr>
          <w:p w:rsidR="007124F0" w:rsidRPr="00FD4A39" w:rsidRDefault="007124F0" w:rsidP="007124F0">
            <w:pPr>
              <w:jc w:val="center"/>
              <w:rPr>
                <w:rFonts w:cs="Arial"/>
                <w:sz w:val="22"/>
                <w:szCs w:val="22"/>
              </w:rPr>
            </w:pPr>
          </w:p>
        </w:tc>
        <w:tc>
          <w:tcPr>
            <w:tcW w:w="1700" w:type="dxa"/>
            <w:noWrap/>
            <w:vAlign w:val="bottom"/>
          </w:tcPr>
          <w:p w:rsidR="007124F0" w:rsidRPr="00FD4A39" w:rsidRDefault="007124F0" w:rsidP="007124F0">
            <w:pPr>
              <w:jc w:val="center"/>
              <w:rPr>
                <w:rFonts w:cs="Arial"/>
                <w:sz w:val="22"/>
                <w:szCs w:val="22"/>
              </w:rPr>
            </w:pPr>
          </w:p>
        </w:tc>
        <w:tc>
          <w:tcPr>
            <w:tcW w:w="240" w:type="dxa"/>
          </w:tcPr>
          <w:p w:rsidR="007124F0" w:rsidRPr="00FD4A39" w:rsidRDefault="007124F0" w:rsidP="007124F0">
            <w:pPr>
              <w:jc w:val="center"/>
              <w:rPr>
                <w:rFonts w:cs="Arial"/>
                <w:sz w:val="22"/>
                <w:szCs w:val="22"/>
              </w:rPr>
            </w:pPr>
          </w:p>
        </w:tc>
        <w:tc>
          <w:tcPr>
            <w:tcW w:w="1800" w:type="dxa"/>
            <w:noWrap/>
            <w:vAlign w:val="center"/>
          </w:tcPr>
          <w:p w:rsidR="007124F0" w:rsidRPr="00FD4A39" w:rsidRDefault="007124F0" w:rsidP="00582EC7">
            <w:pPr>
              <w:jc w:val="center"/>
              <w:rPr>
                <w:rFonts w:cs="Arial"/>
                <w:sz w:val="22"/>
                <w:szCs w:val="22"/>
              </w:rPr>
            </w:pPr>
            <w:r w:rsidRPr="00FD4A39">
              <w:rPr>
                <w:rFonts w:cs="Arial"/>
                <w:sz w:val="22"/>
                <w:szCs w:val="22"/>
              </w:rPr>
              <w:t>0.225</w:t>
            </w:r>
          </w:p>
        </w:tc>
        <w:tc>
          <w:tcPr>
            <w:tcW w:w="1580" w:type="dxa"/>
            <w:noWrap/>
            <w:vAlign w:val="center"/>
          </w:tcPr>
          <w:p w:rsidR="007124F0" w:rsidRPr="00FD4A39" w:rsidRDefault="007124F0" w:rsidP="00582EC7">
            <w:pPr>
              <w:jc w:val="center"/>
              <w:rPr>
                <w:rFonts w:cs="Arial"/>
                <w:sz w:val="22"/>
                <w:szCs w:val="22"/>
              </w:rPr>
            </w:pPr>
            <w:r w:rsidRPr="00FD4A39">
              <w:rPr>
                <w:rFonts w:cs="Arial"/>
                <w:sz w:val="22"/>
                <w:szCs w:val="22"/>
              </w:rPr>
              <w:t>0.221</w:t>
            </w:r>
          </w:p>
        </w:tc>
      </w:tr>
      <w:tr w:rsidR="007B45DF" w:rsidRPr="00FD4A39" w:rsidTr="007B45DF">
        <w:trPr>
          <w:trHeight w:val="264"/>
        </w:trPr>
        <w:tc>
          <w:tcPr>
            <w:tcW w:w="2508" w:type="dxa"/>
            <w:tcBorders>
              <w:bottom w:val="double" w:sz="4" w:space="0" w:color="auto"/>
            </w:tcBorders>
            <w:noWrap/>
            <w:vAlign w:val="bottom"/>
          </w:tcPr>
          <w:p w:rsidR="00582EC7" w:rsidRDefault="00582EC7" w:rsidP="005D401D">
            <w:pPr>
              <w:rPr>
                <w:rFonts w:cs="Arial"/>
                <w:i/>
                <w:sz w:val="10"/>
                <w:szCs w:val="10"/>
              </w:rPr>
            </w:pPr>
          </w:p>
          <w:p w:rsidR="007B45DF" w:rsidRPr="007B45DF" w:rsidRDefault="007B45DF" w:rsidP="005D401D">
            <w:pPr>
              <w:rPr>
                <w:rFonts w:cs="Arial"/>
                <w:sz w:val="22"/>
                <w:szCs w:val="22"/>
              </w:rPr>
            </w:pPr>
            <w:r w:rsidRPr="00FD4A39">
              <w:rPr>
                <w:rFonts w:cs="Arial"/>
                <w:i/>
                <w:sz w:val="22"/>
                <w:szCs w:val="22"/>
              </w:rPr>
              <w:t>F-</w:t>
            </w:r>
            <w:r w:rsidRPr="00FD4A39">
              <w:rPr>
                <w:rFonts w:cs="Arial"/>
                <w:sz w:val="22"/>
                <w:szCs w:val="22"/>
              </w:rPr>
              <w:t>test</w:t>
            </w:r>
            <w:r w:rsidRPr="00FD4A39">
              <w:rPr>
                <w:rFonts w:cs="Arial"/>
                <w:i/>
                <w:sz w:val="22"/>
                <w:szCs w:val="22"/>
              </w:rPr>
              <w:t xml:space="preserve"> </w:t>
            </w:r>
            <w:r w:rsidRPr="00FD4A39">
              <w:rPr>
                <w:rFonts w:cs="Arial"/>
                <w:sz w:val="22"/>
                <w:szCs w:val="22"/>
              </w:rPr>
              <w:t>(H</w:t>
            </w:r>
            <w:r w:rsidRPr="00FD4A39">
              <w:rPr>
                <w:rFonts w:cs="Arial"/>
                <w:sz w:val="22"/>
                <w:szCs w:val="22"/>
                <w:vertAlign w:val="subscript"/>
              </w:rPr>
              <w:t>0</w:t>
            </w:r>
            <w:r>
              <w:rPr>
                <w:rFonts w:cs="Arial"/>
                <w:sz w:val="22"/>
                <w:szCs w:val="22"/>
              </w:rPr>
              <w:t>: Excluded Instruments</w:t>
            </w:r>
            <w:r w:rsidRPr="00FD4A39">
              <w:rPr>
                <w:rFonts w:cs="Arial"/>
                <w:sz w:val="22"/>
                <w:szCs w:val="22"/>
              </w:rPr>
              <w:t>=0)</w:t>
            </w:r>
            <w:r>
              <w:rPr>
                <w:rFonts w:cs="Arial"/>
                <w:sz w:val="22"/>
                <w:szCs w:val="22"/>
              </w:rPr>
              <w:t xml:space="preserve"> (</w:t>
            </w:r>
            <w:r w:rsidRPr="00DC37B1">
              <w:rPr>
                <w:rFonts w:cs="Arial"/>
                <w:i/>
                <w:sz w:val="22"/>
                <w:szCs w:val="22"/>
              </w:rPr>
              <w:t>P</w:t>
            </w:r>
            <w:r>
              <w:rPr>
                <w:rFonts w:cs="Arial"/>
                <w:sz w:val="22"/>
                <w:szCs w:val="22"/>
              </w:rPr>
              <w:t>-Value)</w:t>
            </w:r>
          </w:p>
        </w:tc>
        <w:tc>
          <w:tcPr>
            <w:tcW w:w="1680" w:type="dxa"/>
            <w:tcBorders>
              <w:bottom w:val="double" w:sz="4" w:space="0" w:color="auto"/>
            </w:tcBorders>
            <w:noWrap/>
            <w:vAlign w:val="bottom"/>
          </w:tcPr>
          <w:p w:rsidR="007B45DF" w:rsidRPr="00FD4A39" w:rsidRDefault="007B45DF" w:rsidP="007124F0">
            <w:pPr>
              <w:jc w:val="center"/>
              <w:rPr>
                <w:rFonts w:cs="Arial"/>
                <w:sz w:val="22"/>
                <w:szCs w:val="22"/>
              </w:rPr>
            </w:pPr>
          </w:p>
        </w:tc>
        <w:tc>
          <w:tcPr>
            <w:tcW w:w="1700" w:type="dxa"/>
            <w:tcBorders>
              <w:bottom w:val="double" w:sz="4" w:space="0" w:color="auto"/>
            </w:tcBorders>
            <w:noWrap/>
            <w:vAlign w:val="bottom"/>
          </w:tcPr>
          <w:p w:rsidR="007B45DF" w:rsidRPr="00FD4A39" w:rsidRDefault="007B45DF" w:rsidP="007124F0">
            <w:pPr>
              <w:jc w:val="center"/>
              <w:rPr>
                <w:rFonts w:cs="Arial"/>
                <w:sz w:val="22"/>
                <w:szCs w:val="22"/>
              </w:rPr>
            </w:pPr>
          </w:p>
        </w:tc>
        <w:tc>
          <w:tcPr>
            <w:tcW w:w="240" w:type="dxa"/>
            <w:tcBorders>
              <w:bottom w:val="double" w:sz="4" w:space="0" w:color="auto"/>
            </w:tcBorders>
          </w:tcPr>
          <w:p w:rsidR="007B45DF" w:rsidRPr="00FD4A39" w:rsidRDefault="007B45DF" w:rsidP="007124F0">
            <w:pPr>
              <w:jc w:val="center"/>
              <w:rPr>
                <w:rFonts w:cs="Arial"/>
                <w:sz w:val="22"/>
                <w:szCs w:val="22"/>
              </w:rPr>
            </w:pPr>
          </w:p>
        </w:tc>
        <w:tc>
          <w:tcPr>
            <w:tcW w:w="1800" w:type="dxa"/>
            <w:tcBorders>
              <w:bottom w:val="double" w:sz="4" w:space="0" w:color="auto"/>
            </w:tcBorders>
            <w:noWrap/>
            <w:vAlign w:val="bottom"/>
          </w:tcPr>
          <w:p w:rsidR="007B45DF" w:rsidRDefault="00D97925" w:rsidP="0078502E">
            <w:pPr>
              <w:jc w:val="center"/>
              <w:rPr>
                <w:rFonts w:cs="Arial"/>
                <w:sz w:val="22"/>
                <w:szCs w:val="22"/>
              </w:rPr>
            </w:pPr>
            <w:r>
              <w:rPr>
                <w:rFonts w:cs="Arial"/>
                <w:sz w:val="22"/>
                <w:szCs w:val="22"/>
              </w:rPr>
              <w:t>0.000</w:t>
            </w:r>
          </w:p>
          <w:p w:rsidR="007B45DF" w:rsidRPr="00FD4A39" w:rsidRDefault="007B45DF" w:rsidP="0078502E">
            <w:pPr>
              <w:jc w:val="center"/>
              <w:rPr>
                <w:rFonts w:cs="Arial"/>
                <w:sz w:val="22"/>
                <w:szCs w:val="22"/>
              </w:rPr>
            </w:pPr>
          </w:p>
        </w:tc>
        <w:tc>
          <w:tcPr>
            <w:tcW w:w="1580" w:type="dxa"/>
            <w:tcBorders>
              <w:bottom w:val="double" w:sz="4" w:space="0" w:color="auto"/>
            </w:tcBorders>
            <w:noWrap/>
            <w:vAlign w:val="bottom"/>
          </w:tcPr>
          <w:p w:rsidR="007B45DF" w:rsidRDefault="007B45DF" w:rsidP="0078502E">
            <w:pPr>
              <w:jc w:val="center"/>
              <w:rPr>
                <w:rFonts w:cs="Arial"/>
                <w:sz w:val="22"/>
                <w:szCs w:val="22"/>
              </w:rPr>
            </w:pPr>
            <w:r w:rsidRPr="00FD4A39">
              <w:rPr>
                <w:rFonts w:cs="Arial"/>
                <w:sz w:val="22"/>
                <w:szCs w:val="22"/>
              </w:rPr>
              <w:t>0.</w:t>
            </w:r>
            <w:r w:rsidR="00D97925">
              <w:rPr>
                <w:rFonts w:cs="Arial"/>
                <w:sz w:val="22"/>
                <w:szCs w:val="22"/>
              </w:rPr>
              <w:t>000</w:t>
            </w:r>
          </w:p>
          <w:p w:rsidR="007B45DF" w:rsidRPr="00FD4A39" w:rsidRDefault="007B45DF" w:rsidP="0078502E">
            <w:pPr>
              <w:jc w:val="center"/>
              <w:rPr>
                <w:rFonts w:cs="Arial"/>
                <w:sz w:val="22"/>
                <w:szCs w:val="22"/>
              </w:rPr>
            </w:pPr>
          </w:p>
        </w:tc>
      </w:tr>
    </w:tbl>
    <w:p w:rsidR="007124F0" w:rsidRPr="0078502E" w:rsidRDefault="007124F0" w:rsidP="007124F0">
      <w:pPr>
        <w:jc w:val="both"/>
        <w:rPr>
          <w:sz w:val="18"/>
          <w:szCs w:val="18"/>
        </w:rPr>
      </w:pPr>
      <w:r w:rsidRPr="0078502E">
        <w:rPr>
          <w:sz w:val="18"/>
          <w:szCs w:val="18"/>
        </w:rPr>
        <w:t xml:space="preserve">Note: ***, ** and * indicate statistical significance at the 1%, 5% and 10% (two-tail) test levels, respectively. </w:t>
      </w:r>
    </w:p>
    <w:p w:rsidR="007124F0" w:rsidRPr="00782D51" w:rsidRDefault="007124F0" w:rsidP="007124F0">
      <w:r w:rsidRPr="00782D51">
        <w:t xml:space="preserve"> </w:t>
      </w:r>
    </w:p>
    <w:p w:rsidR="007124F0" w:rsidRPr="00FD4A39" w:rsidRDefault="007124F0" w:rsidP="007124F0">
      <w:pPr>
        <w:jc w:val="both"/>
        <w:rPr>
          <w:sz w:val="22"/>
          <w:szCs w:val="22"/>
        </w:rPr>
      </w:pPr>
    </w:p>
    <w:p w:rsidR="007124F0" w:rsidRPr="002D04FF" w:rsidRDefault="007124F0" w:rsidP="007124F0">
      <w:r w:rsidRPr="00FD4A39">
        <w:rPr>
          <w:sz w:val="22"/>
          <w:szCs w:val="22"/>
        </w:rPr>
        <w:br w:type="page"/>
      </w:r>
      <w:r w:rsidRPr="002D04FF">
        <w:lastRenderedPageBreak/>
        <w:t xml:space="preserve">Table </w:t>
      </w:r>
      <w:r>
        <w:t>13</w:t>
      </w:r>
      <w:r w:rsidRPr="002D04FF">
        <w:t xml:space="preserve"> – Value, Secured Debt and Leverage</w:t>
      </w:r>
    </w:p>
    <w:p w:rsidR="007124F0" w:rsidRPr="00FD4A39" w:rsidRDefault="007124F0" w:rsidP="007124F0">
      <w:pPr>
        <w:rPr>
          <w:sz w:val="22"/>
          <w:szCs w:val="22"/>
        </w:rPr>
      </w:pPr>
    </w:p>
    <w:p w:rsidR="007124F0" w:rsidRPr="00FD4A39" w:rsidRDefault="007124F0" w:rsidP="007124F0">
      <w:pPr>
        <w:jc w:val="both"/>
        <w:rPr>
          <w:sz w:val="22"/>
          <w:szCs w:val="22"/>
        </w:rPr>
      </w:pPr>
      <w:r w:rsidRPr="00FD4A39">
        <w:rPr>
          <w:sz w:val="22"/>
          <w:szCs w:val="22"/>
        </w:rPr>
        <w:t xml:space="preserve">This table reports regression results for generalized-system method of moments (GMM) estimations of the value, secured debt and leverage models (Eq. (1) - Eq. (3) in the text) for our sample of equity REITs over the sample period 1991-2007. Variables are first-differenced to control for firm-fixed effects. </w:t>
      </w:r>
      <w:r w:rsidR="00D060DD" w:rsidRPr="00FD4A39">
        <w:rPr>
          <w:sz w:val="22"/>
          <w:szCs w:val="22"/>
        </w:rPr>
        <w:t>All va</w:t>
      </w:r>
      <w:r w:rsidR="00D060DD">
        <w:rPr>
          <w:sz w:val="22"/>
          <w:szCs w:val="22"/>
        </w:rPr>
        <w:t>riables in the first-difference</w:t>
      </w:r>
      <w:r w:rsidR="00D060DD" w:rsidRPr="00FD4A39">
        <w:rPr>
          <w:sz w:val="22"/>
          <w:szCs w:val="22"/>
        </w:rPr>
        <w:t xml:space="preserve"> equation are instrumented by their fourth-ninth lags in levels. </w:t>
      </w:r>
      <w:r w:rsidR="00D060DD">
        <w:rPr>
          <w:sz w:val="22"/>
          <w:szCs w:val="22"/>
        </w:rPr>
        <w:t xml:space="preserve">The instrumental set also includes a constant term. </w:t>
      </w:r>
      <w:r w:rsidRPr="00FD4A39">
        <w:rPr>
          <w:sz w:val="22"/>
          <w:szCs w:val="22"/>
        </w:rPr>
        <w:t xml:space="preserve">We also include </w:t>
      </w:r>
      <w:r w:rsidRPr="00FD4A39">
        <w:rPr>
          <w:i/>
          <w:sz w:val="22"/>
          <w:szCs w:val="22"/>
        </w:rPr>
        <w:t>EarningsChange</w:t>
      </w:r>
      <w:r w:rsidRPr="00FD4A39">
        <w:rPr>
          <w:sz w:val="22"/>
          <w:szCs w:val="22"/>
        </w:rPr>
        <w:t xml:space="preserve"> as an “outside” instrument for </w:t>
      </w:r>
      <w:r>
        <w:rPr>
          <w:i/>
          <w:sz w:val="22"/>
          <w:szCs w:val="22"/>
        </w:rPr>
        <w:t>q</w:t>
      </w:r>
      <w:r w:rsidRPr="00FD4A39">
        <w:rPr>
          <w:sz w:val="22"/>
          <w:szCs w:val="22"/>
        </w:rPr>
        <w:t>. All firm level data are from SNL Datasource. Refer to</w:t>
      </w:r>
      <w:r>
        <w:rPr>
          <w:sz w:val="22"/>
          <w:szCs w:val="22"/>
        </w:rPr>
        <w:t xml:space="preserve"> previous</w:t>
      </w:r>
      <w:r w:rsidRPr="00FD4A39">
        <w:rPr>
          <w:sz w:val="22"/>
          <w:szCs w:val="22"/>
        </w:rPr>
        <w:t xml:space="preserve"> Table</w:t>
      </w:r>
      <w:r>
        <w:rPr>
          <w:sz w:val="22"/>
          <w:szCs w:val="22"/>
        </w:rPr>
        <w:t>s</w:t>
      </w:r>
      <w:r w:rsidRPr="00FD4A39">
        <w:rPr>
          <w:sz w:val="22"/>
          <w:szCs w:val="22"/>
        </w:rPr>
        <w:t xml:space="preserve"> for detailed variable definitions. The sample includes residential, retail, office, and industrial REITs. All regressions include year dummies. Standard errors reported in parentheses are based on heteroskedastic consistent errors adjusted for clustering across observations of a given firm (Rogers, 1993).</w:t>
      </w:r>
    </w:p>
    <w:p w:rsidR="007124F0" w:rsidRPr="00FD4A39" w:rsidRDefault="007124F0" w:rsidP="007124F0">
      <w:pPr>
        <w:jc w:val="both"/>
        <w:rPr>
          <w:sz w:val="22"/>
          <w:szCs w:val="22"/>
        </w:rPr>
      </w:pPr>
    </w:p>
    <w:tbl>
      <w:tblPr>
        <w:tblW w:w="9816" w:type="dxa"/>
        <w:tblLook w:val="0000"/>
      </w:tblPr>
      <w:tblGrid>
        <w:gridCol w:w="2508"/>
        <w:gridCol w:w="1207"/>
        <w:gridCol w:w="1151"/>
        <w:gridCol w:w="1151"/>
        <w:gridCol w:w="236"/>
        <w:gridCol w:w="1151"/>
        <w:gridCol w:w="1151"/>
        <w:gridCol w:w="1261"/>
      </w:tblGrid>
      <w:tr w:rsidR="007124F0" w:rsidRPr="00FD4A39" w:rsidTr="007B45DF">
        <w:trPr>
          <w:trHeight w:val="264"/>
        </w:trPr>
        <w:tc>
          <w:tcPr>
            <w:tcW w:w="2508" w:type="dxa"/>
            <w:tcBorders>
              <w:top w:val="double" w:sz="4" w:space="0" w:color="auto"/>
            </w:tcBorders>
            <w:noWrap/>
            <w:vAlign w:val="bottom"/>
          </w:tcPr>
          <w:p w:rsidR="007124F0" w:rsidRPr="00FD4A39" w:rsidRDefault="007124F0" w:rsidP="007124F0">
            <w:pPr>
              <w:rPr>
                <w:rFonts w:cs="Arial"/>
                <w:sz w:val="22"/>
                <w:szCs w:val="22"/>
              </w:rPr>
            </w:pPr>
          </w:p>
        </w:tc>
        <w:tc>
          <w:tcPr>
            <w:tcW w:w="3509" w:type="dxa"/>
            <w:gridSpan w:val="3"/>
            <w:tcBorders>
              <w:top w:val="double" w:sz="4" w:space="0" w:color="auto"/>
              <w:bottom w:val="single" w:sz="4" w:space="0" w:color="auto"/>
            </w:tcBorders>
            <w:noWrap/>
            <w:vAlign w:val="bottom"/>
          </w:tcPr>
          <w:p w:rsidR="007124F0" w:rsidRPr="00FD4A39" w:rsidRDefault="007124F0" w:rsidP="007124F0">
            <w:pPr>
              <w:jc w:val="center"/>
              <w:rPr>
                <w:rFonts w:cs="Arial"/>
                <w:i/>
                <w:sz w:val="22"/>
                <w:szCs w:val="22"/>
              </w:rPr>
            </w:pPr>
          </w:p>
          <w:p w:rsidR="007124F0" w:rsidRPr="00FD4A39" w:rsidRDefault="007124F0" w:rsidP="007124F0">
            <w:pPr>
              <w:jc w:val="center"/>
              <w:rPr>
                <w:rFonts w:cs="Arial"/>
                <w:sz w:val="22"/>
                <w:szCs w:val="22"/>
              </w:rPr>
            </w:pPr>
            <w:r w:rsidRPr="00FD4A39">
              <w:rPr>
                <w:rFonts w:cs="Arial"/>
                <w:sz w:val="22"/>
                <w:szCs w:val="22"/>
              </w:rPr>
              <w:t>Models with Market Leverage</w:t>
            </w:r>
          </w:p>
        </w:tc>
        <w:tc>
          <w:tcPr>
            <w:tcW w:w="236" w:type="dxa"/>
            <w:tcBorders>
              <w:top w:val="double" w:sz="4" w:space="0" w:color="auto"/>
            </w:tcBorders>
          </w:tcPr>
          <w:p w:rsidR="007124F0" w:rsidRPr="00FD4A39" w:rsidRDefault="007124F0" w:rsidP="007124F0">
            <w:pPr>
              <w:jc w:val="center"/>
              <w:rPr>
                <w:rFonts w:cs="Arial"/>
                <w:i/>
                <w:sz w:val="22"/>
                <w:szCs w:val="22"/>
              </w:rPr>
            </w:pPr>
          </w:p>
        </w:tc>
        <w:tc>
          <w:tcPr>
            <w:tcW w:w="3563" w:type="dxa"/>
            <w:gridSpan w:val="3"/>
            <w:tcBorders>
              <w:top w:val="double" w:sz="4" w:space="0" w:color="auto"/>
              <w:bottom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Models with Book Leverage</w:t>
            </w:r>
          </w:p>
        </w:tc>
      </w:tr>
      <w:tr w:rsidR="007124F0" w:rsidRPr="00FD4A39" w:rsidTr="007B45DF">
        <w:trPr>
          <w:trHeight w:val="264"/>
        </w:trPr>
        <w:tc>
          <w:tcPr>
            <w:tcW w:w="2508" w:type="dxa"/>
            <w:tcBorders>
              <w:bottom w:val="single" w:sz="4" w:space="0" w:color="auto"/>
            </w:tcBorders>
            <w:noWrap/>
            <w:vAlign w:val="bottom"/>
          </w:tcPr>
          <w:p w:rsidR="007124F0" w:rsidRPr="00FD4A39" w:rsidRDefault="007124F0" w:rsidP="007124F0">
            <w:pPr>
              <w:rPr>
                <w:rFonts w:cs="Arial"/>
                <w:sz w:val="22"/>
                <w:szCs w:val="22"/>
              </w:rPr>
            </w:pPr>
          </w:p>
        </w:tc>
        <w:tc>
          <w:tcPr>
            <w:tcW w:w="1207" w:type="dxa"/>
            <w:tcBorders>
              <w:top w:val="single" w:sz="4" w:space="0" w:color="auto"/>
              <w:bottom w:val="single" w:sz="4" w:space="0" w:color="auto"/>
            </w:tcBorders>
            <w:noWrap/>
            <w:vAlign w:val="bottom"/>
          </w:tcPr>
          <w:p w:rsidR="007124F0" w:rsidRPr="00FD4A39" w:rsidRDefault="007124F0" w:rsidP="007124F0">
            <w:pPr>
              <w:jc w:val="center"/>
              <w:rPr>
                <w:rFonts w:cs="Arial"/>
                <w:i/>
                <w:sz w:val="22"/>
                <w:szCs w:val="22"/>
              </w:rPr>
            </w:pPr>
            <w:r>
              <w:rPr>
                <w:rFonts w:cs="Arial"/>
                <w:i/>
                <w:sz w:val="22"/>
                <w:szCs w:val="22"/>
              </w:rPr>
              <w:t>q</w:t>
            </w:r>
          </w:p>
          <w:p w:rsidR="007124F0" w:rsidRPr="00FD4A39" w:rsidRDefault="007124F0" w:rsidP="007124F0">
            <w:pPr>
              <w:jc w:val="center"/>
              <w:rPr>
                <w:rFonts w:cs="Arial"/>
                <w:sz w:val="22"/>
                <w:szCs w:val="22"/>
              </w:rPr>
            </w:pPr>
            <w:r w:rsidRPr="00FD4A39">
              <w:rPr>
                <w:rFonts w:cs="Arial"/>
                <w:sz w:val="22"/>
                <w:szCs w:val="22"/>
              </w:rPr>
              <w:t>(1)</w:t>
            </w:r>
          </w:p>
        </w:tc>
        <w:tc>
          <w:tcPr>
            <w:tcW w:w="1151" w:type="dxa"/>
            <w:tcBorders>
              <w:top w:val="single" w:sz="4" w:space="0" w:color="auto"/>
              <w:bottom w:val="single" w:sz="4" w:space="0" w:color="auto"/>
            </w:tcBorders>
            <w:noWrap/>
            <w:vAlign w:val="bottom"/>
          </w:tcPr>
          <w:p w:rsidR="007124F0" w:rsidRPr="00FD4A39" w:rsidRDefault="007124F0" w:rsidP="007124F0">
            <w:pPr>
              <w:jc w:val="center"/>
              <w:rPr>
                <w:rFonts w:cs="Arial"/>
                <w:i/>
                <w:sz w:val="22"/>
                <w:szCs w:val="22"/>
              </w:rPr>
            </w:pPr>
            <w:r w:rsidRPr="00FD4A39">
              <w:rPr>
                <w:rFonts w:cs="Arial"/>
                <w:i/>
                <w:sz w:val="22"/>
                <w:szCs w:val="22"/>
              </w:rPr>
              <w:t>Secured</w:t>
            </w:r>
          </w:p>
          <w:p w:rsidR="007124F0" w:rsidRPr="00FD4A39" w:rsidRDefault="007124F0" w:rsidP="007124F0">
            <w:pPr>
              <w:jc w:val="center"/>
              <w:rPr>
                <w:rFonts w:cs="Arial"/>
                <w:i/>
                <w:sz w:val="22"/>
                <w:szCs w:val="22"/>
              </w:rPr>
            </w:pPr>
            <w:r w:rsidRPr="00FD4A39">
              <w:rPr>
                <w:rFonts w:cs="Arial"/>
                <w:i/>
                <w:sz w:val="22"/>
                <w:szCs w:val="22"/>
              </w:rPr>
              <w:t>Debt</w:t>
            </w:r>
          </w:p>
          <w:p w:rsidR="007124F0" w:rsidRPr="00FD4A39" w:rsidRDefault="007124F0" w:rsidP="007124F0">
            <w:pPr>
              <w:jc w:val="center"/>
              <w:rPr>
                <w:rFonts w:cs="Arial"/>
                <w:sz w:val="22"/>
                <w:szCs w:val="22"/>
              </w:rPr>
            </w:pPr>
            <w:r w:rsidRPr="00FD4A39">
              <w:rPr>
                <w:rFonts w:cs="Arial"/>
                <w:sz w:val="22"/>
                <w:szCs w:val="22"/>
              </w:rPr>
              <w:t>(2)</w:t>
            </w:r>
          </w:p>
        </w:tc>
        <w:tc>
          <w:tcPr>
            <w:tcW w:w="1151" w:type="dxa"/>
            <w:tcBorders>
              <w:top w:val="single" w:sz="4" w:space="0" w:color="auto"/>
              <w:bottom w:val="single" w:sz="4" w:space="0" w:color="auto"/>
            </w:tcBorders>
            <w:noWrap/>
            <w:vAlign w:val="bottom"/>
          </w:tcPr>
          <w:p w:rsidR="007124F0" w:rsidRPr="00FD4A39" w:rsidRDefault="007124F0" w:rsidP="007124F0">
            <w:pPr>
              <w:jc w:val="center"/>
              <w:rPr>
                <w:rFonts w:cs="Arial"/>
                <w:i/>
                <w:sz w:val="22"/>
                <w:szCs w:val="22"/>
              </w:rPr>
            </w:pPr>
            <w:r w:rsidRPr="00FD4A39">
              <w:rPr>
                <w:rFonts w:cs="Arial"/>
                <w:i/>
                <w:sz w:val="22"/>
                <w:szCs w:val="22"/>
              </w:rPr>
              <w:t>Market</w:t>
            </w:r>
          </w:p>
          <w:p w:rsidR="007124F0" w:rsidRPr="00FD4A39" w:rsidRDefault="007124F0" w:rsidP="007124F0">
            <w:pPr>
              <w:jc w:val="center"/>
              <w:rPr>
                <w:rFonts w:cs="Arial"/>
                <w:i/>
                <w:sz w:val="22"/>
                <w:szCs w:val="22"/>
              </w:rPr>
            </w:pPr>
            <w:r w:rsidRPr="00FD4A39">
              <w:rPr>
                <w:rFonts w:cs="Arial"/>
                <w:i/>
                <w:sz w:val="22"/>
                <w:szCs w:val="22"/>
              </w:rPr>
              <w:t>Leverage</w:t>
            </w:r>
          </w:p>
          <w:p w:rsidR="007124F0" w:rsidRPr="00FD4A39" w:rsidRDefault="007124F0" w:rsidP="007124F0">
            <w:pPr>
              <w:jc w:val="center"/>
              <w:rPr>
                <w:rFonts w:cs="Arial"/>
                <w:sz w:val="22"/>
                <w:szCs w:val="22"/>
              </w:rPr>
            </w:pPr>
            <w:r w:rsidRPr="00FD4A39">
              <w:rPr>
                <w:rFonts w:cs="Arial"/>
                <w:sz w:val="22"/>
                <w:szCs w:val="22"/>
              </w:rPr>
              <w:t>(3)</w:t>
            </w:r>
          </w:p>
        </w:tc>
        <w:tc>
          <w:tcPr>
            <w:tcW w:w="236" w:type="dxa"/>
            <w:tcBorders>
              <w:bottom w:val="single" w:sz="4" w:space="0" w:color="auto"/>
            </w:tcBorders>
          </w:tcPr>
          <w:p w:rsidR="007124F0" w:rsidRPr="00FD4A39" w:rsidRDefault="007124F0" w:rsidP="007124F0">
            <w:pPr>
              <w:jc w:val="center"/>
              <w:rPr>
                <w:rFonts w:cs="Arial"/>
                <w:i/>
                <w:sz w:val="22"/>
                <w:szCs w:val="22"/>
              </w:rPr>
            </w:pPr>
          </w:p>
        </w:tc>
        <w:tc>
          <w:tcPr>
            <w:tcW w:w="1151" w:type="dxa"/>
            <w:tcBorders>
              <w:top w:val="single" w:sz="4" w:space="0" w:color="auto"/>
              <w:bottom w:val="single" w:sz="4" w:space="0" w:color="auto"/>
            </w:tcBorders>
            <w:noWrap/>
            <w:vAlign w:val="bottom"/>
          </w:tcPr>
          <w:p w:rsidR="007124F0" w:rsidRPr="00FD4A39" w:rsidRDefault="007124F0" w:rsidP="007124F0">
            <w:pPr>
              <w:jc w:val="center"/>
              <w:rPr>
                <w:rFonts w:cs="Arial"/>
                <w:i/>
                <w:sz w:val="22"/>
                <w:szCs w:val="22"/>
              </w:rPr>
            </w:pPr>
            <w:r>
              <w:rPr>
                <w:rFonts w:cs="Arial"/>
                <w:i/>
                <w:sz w:val="22"/>
                <w:szCs w:val="22"/>
              </w:rPr>
              <w:t>q</w:t>
            </w:r>
          </w:p>
          <w:p w:rsidR="007124F0" w:rsidRPr="00FD4A39" w:rsidRDefault="007124F0" w:rsidP="007124F0">
            <w:pPr>
              <w:jc w:val="center"/>
              <w:rPr>
                <w:rFonts w:cs="Arial"/>
                <w:sz w:val="22"/>
                <w:szCs w:val="22"/>
              </w:rPr>
            </w:pPr>
            <w:r w:rsidRPr="00FD4A39">
              <w:rPr>
                <w:rFonts w:cs="Arial"/>
                <w:sz w:val="22"/>
                <w:szCs w:val="22"/>
              </w:rPr>
              <w:t>(4)</w:t>
            </w:r>
          </w:p>
        </w:tc>
        <w:tc>
          <w:tcPr>
            <w:tcW w:w="1151" w:type="dxa"/>
            <w:tcBorders>
              <w:top w:val="single" w:sz="4" w:space="0" w:color="auto"/>
              <w:bottom w:val="single" w:sz="4" w:space="0" w:color="auto"/>
            </w:tcBorders>
            <w:noWrap/>
            <w:vAlign w:val="bottom"/>
          </w:tcPr>
          <w:p w:rsidR="007124F0" w:rsidRPr="00FD4A39" w:rsidRDefault="007124F0" w:rsidP="007124F0">
            <w:pPr>
              <w:jc w:val="center"/>
              <w:rPr>
                <w:rFonts w:cs="Arial"/>
                <w:i/>
                <w:sz w:val="22"/>
                <w:szCs w:val="22"/>
              </w:rPr>
            </w:pPr>
            <w:r w:rsidRPr="00FD4A39">
              <w:rPr>
                <w:rFonts w:cs="Arial"/>
                <w:i/>
                <w:sz w:val="22"/>
                <w:szCs w:val="22"/>
              </w:rPr>
              <w:t>Secured</w:t>
            </w:r>
          </w:p>
          <w:p w:rsidR="007124F0" w:rsidRPr="00FD4A39" w:rsidRDefault="007124F0" w:rsidP="007124F0">
            <w:pPr>
              <w:jc w:val="center"/>
              <w:rPr>
                <w:rFonts w:cs="Arial"/>
                <w:i/>
                <w:sz w:val="22"/>
                <w:szCs w:val="22"/>
              </w:rPr>
            </w:pPr>
            <w:r w:rsidRPr="00FD4A39">
              <w:rPr>
                <w:rFonts w:cs="Arial"/>
                <w:i/>
                <w:sz w:val="22"/>
                <w:szCs w:val="22"/>
              </w:rPr>
              <w:t>Debt</w:t>
            </w:r>
          </w:p>
          <w:p w:rsidR="007124F0" w:rsidRPr="00FD4A39" w:rsidRDefault="007124F0" w:rsidP="007124F0">
            <w:pPr>
              <w:jc w:val="center"/>
              <w:rPr>
                <w:rFonts w:cs="Arial"/>
                <w:sz w:val="22"/>
                <w:szCs w:val="22"/>
              </w:rPr>
            </w:pPr>
            <w:r w:rsidRPr="00FD4A39">
              <w:rPr>
                <w:rFonts w:cs="Arial"/>
                <w:sz w:val="22"/>
                <w:szCs w:val="22"/>
              </w:rPr>
              <w:t>(5)</w:t>
            </w:r>
          </w:p>
        </w:tc>
        <w:tc>
          <w:tcPr>
            <w:tcW w:w="1261" w:type="dxa"/>
            <w:tcBorders>
              <w:top w:val="single" w:sz="4" w:space="0" w:color="auto"/>
              <w:bottom w:val="single" w:sz="4" w:space="0" w:color="auto"/>
            </w:tcBorders>
            <w:noWrap/>
            <w:vAlign w:val="bottom"/>
          </w:tcPr>
          <w:p w:rsidR="007124F0" w:rsidRPr="00FD4A39" w:rsidRDefault="007124F0" w:rsidP="007124F0">
            <w:pPr>
              <w:jc w:val="center"/>
              <w:rPr>
                <w:rFonts w:cs="Arial"/>
                <w:i/>
                <w:sz w:val="22"/>
                <w:szCs w:val="22"/>
              </w:rPr>
            </w:pPr>
            <w:r w:rsidRPr="00FD4A39">
              <w:rPr>
                <w:rFonts w:cs="Arial"/>
                <w:i/>
                <w:sz w:val="22"/>
                <w:szCs w:val="22"/>
              </w:rPr>
              <w:t>Book</w:t>
            </w:r>
          </w:p>
          <w:p w:rsidR="007124F0" w:rsidRPr="00FD4A39" w:rsidRDefault="007124F0" w:rsidP="007124F0">
            <w:pPr>
              <w:jc w:val="center"/>
              <w:rPr>
                <w:rFonts w:cs="Arial"/>
                <w:i/>
                <w:sz w:val="22"/>
                <w:szCs w:val="22"/>
              </w:rPr>
            </w:pPr>
            <w:r w:rsidRPr="00FD4A39">
              <w:rPr>
                <w:rFonts w:cs="Arial"/>
                <w:i/>
                <w:sz w:val="22"/>
                <w:szCs w:val="22"/>
              </w:rPr>
              <w:t>Leverage</w:t>
            </w:r>
          </w:p>
          <w:p w:rsidR="007124F0" w:rsidRPr="00FD4A39" w:rsidRDefault="007124F0" w:rsidP="007124F0">
            <w:pPr>
              <w:jc w:val="center"/>
              <w:rPr>
                <w:rFonts w:cs="Arial"/>
                <w:sz w:val="22"/>
                <w:szCs w:val="22"/>
              </w:rPr>
            </w:pPr>
            <w:r w:rsidRPr="00FD4A39">
              <w:rPr>
                <w:rFonts w:cs="Arial"/>
                <w:sz w:val="22"/>
                <w:szCs w:val="22"/>
              </w:rPr>
              <w:t>(6)</w:t>
            </w:r>
          </w:p>
        </w:tc>
      </w:tr>
      <w:tr w:rsidR="007124F0" w:rsidRPr="00FD4A39" w:rsidTr="007B45DF">
        <w:trPr>
          <w:trHeight w:val="264"/>
        </w:trPr>
        <w:tc>
          <w:tcPr>
            <w:tcW w:w="2508" w:type="dxa"/>
            <w:tcBorders>
              <w:top w:val="single" w:sz="4" w:space="0" w:color="auto"/>
            </w:tcBorders>
            <w:noWrap/>
            <w:vAlign w:val="bottom"/>
          </w:tcPr>
          <w:p w:rsidR="007124F0" w:rsidRPr="00FD4A39" w:rsidRDefault="007124F0" w:rsidP="007124F0">
            <w:pPr>
              <w:rPr>
                <w:rFonts w:cs="Arial"/>
                <w:i/>
                <w:sz w:val="22"/>
                <w:szCs w:val="22"/>
              </w:rPr>
            </w:pPr>
            <w:r w:rsidRPr="00FD4A39">
              <w:rPr>
                <w:rFonts w:cs="Arial"/>
                <w:i/>
                <w:sz w:val="22"/>
                <w:szCs w:val="22"/>
              </w:rPr>
              <w:t>MarketLeverage</w:t>
            </w:r>
          </w:p>
        </w:tc>
        <w:tc>
          <w:tcPr>
            <w:tcW w:w="1207" w:type="dxa"/>
            <w:tcBorders>
              <w:top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-0.535***</w:t>
            </w:r>
          </w:p>
        </w:tc>
        <w:tc>
          <w:tcPr>
            <w:tcW w:w="1151" w:type="dxa"/>
            <w:tcBorders>
              <w:top w:val="single" w:sz="4"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1.042***</w:t>
            </w:r>
          </w:p>
        </w:tc>
        <w:tc>
          <w:tcPr>
            <w:tcW w:w="1151" w:type="dxa"/>
            <w:tcBorders>
              <w:top w:val="single" w:sz="4" w:space="0" w:color="auto"/>
            </w:tcBorders>
            <w:noWrap/>
            <w:vAlign w:val="bottom"/>
          </w:tcPr>
          <w:p w:rsidR="007124F0" w:rsidRPr="00FD4A39" w:rsidRDefault="007124F0" w:rsidP="007124F0">
            <w:pPr>
              <w:jc w:val="center"/>
              <w:rPr>
                <w:rFonts w:cs="Arial"/>
                <w:sz w:val="22"/>
                <w:szCs w:val="22"/>
              </w:rPr>
            </w:pPr>
          </w:p>
        </w:tc>
        <w:tc>
          <w:tcPr>
            <w:tcW w:w="236" w:type="dxa"/>
            <w:tcBorders>
              <w:top w:val="single" w:sz="4" w:space="0" w:color="auto"/>
            </w:tcBorders>
          </w:tcPr>
          <w:p w:rsidR="007124F0" w:rsidRPr="00FD4A39" w:rsidRDefault="007124F0" w:rsidP="007124F0">
            <w:pPr>
              <w:jc w:val="center"/>
              <w:rPr>
                <w:rFonts w:cs="Arial"/>
                <w:sz w:val="22"/>
                <w:szCs w:val="22"/>
              </w:rPr>
            </w:pPr>
          </w:p>
        </w:tc>
        <w:tc>
          <w:tcPr>
            <w:tcW w:w="1151" w:type="dxa"/>
            <w:tcBorders>
              <w:top w:val="single" w:sz="4" w:space="0" w:color="auto"/>
            </w:tcBorders>
            <w:noWrap/>
            <w:vAlign w:val="bottom"/>
          </w:tcPr>
          <w:p w:rsidR="007124F0" w:rsidRPr="00FD4A39" w:rsidRDefault="007124F0" w:rsidP="007124F0">
            <w:pPr>
              <w:jc w:val="center"/>
              <w:rPr>
                <w:rFonts w:cs="Arial"/>
                <w:sz w:val="22"/>
                <w:szCs w:val="22"/>
              </w:rPr>
            </w:pPr>
          </w:p>
        </w:tc>
        <w:tc>
          <w:tcPr>
            <w:tcW w:w="1151" w:type="dxa"/>
            <w:tcBorders>
              <w:top w:val="single" w:sz="4" w:space="0" w:color="auto"/>
            </w:tcBorders>
            <w:noWrap/>
            <w:vAlign w:val="bottom"/>
          </w:tcPr>
          <w:p w:rsidR="007124F0" w:rsidRPr="00FD4A39" w:rsidRDefault="007124F0" w:rsidP="007124F0">
            <w:pPr>
              <w:jc w:val="center"/>
              <w:rPr>
                <w:rFonts w:cs="Arial"/>
                <w:sz w:val="22"/>
                <w:szCs w:val="22"/>
              </w:rPr>
            </w:pPr>
          </w:p>
        </w:tc>
        <w:tc>
          <w:tcPr>
            <w:tcW w:w="1261" w:type="dxa"/>
            <w:tcBorders>
              <w:top w:val="single" w:sz="4" w:space="0" w:color="auto"/>
            </w:tcBorders>
            <w:noWrap/>
            <w:vAlign w:val="bottom"/>
          </w:tcPr>
          <w:p w:rsidR="007124F0" w:rsidRPr="00FD4A39" w:rsidRDefault="007124F0" w:rsidP="007124F0">
            <w:pPr>
              <w:jc w:val="center"/>
              <w:rPr>
                <w:rFonts w:cs="Arial"/>
                <w:sz w:val="22"/>
                <w:szCs w:val="22"/>
              </w:rPr>
            </w:pP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207" w:type="dxa"/>
            <w:noWrap/>
          </w:tcPr>
          <w:p w:rsidR="007124F0" w:rsidRPr="00FD4A39" w:rsidRDefault="007124F0" w:rsidP="0078502E">
            <w:pPr>
              <w:jc w:val="center"/>
              <w:rPr>
                <w:rFonts w:cs="Arial"/>
                <w:sz w:val="22"/>
                <w:szCs w:val="22"/>
              </w:rPr>
            </w:pPr>
            <w:r w:rsidRPr="00FD4A39">
              <w:rPr>
                <w:rFonts w:cs="Arial"/>
                <w:sz w:val="22"/>
                <w:szCs w:val="22"/>
              </w:rPr>
              <w:t>(0.180)</w:t>
            </w:r>
          </w:p>
        </w:tc>
        <w:tc>
          <w:tcPr>
            <w:tcW w:w="1151" w:type="dxa"/>
            <w:noWrap/>
          </w:tcPr>
          <w:p w:rsidR="007124F0" w:rsidRPr="00FD4A39" w:rsidRDefault="007124F0" w:rsidP="0078502E">
            <w:pPr>
              <w:jc w:val="center"/>
              <w:rPr>
                <w:rFonts w:cs="Arial"/>
                <w:sz w:val="22"/>
                <w:szCs w:val="22"/>
              </w:rPr>
            </w:pPr>
            <w:r w:rsidRPr="00FD4A39">
              <w:rPr>
                <w:rFonts w:cs="Arial"/>
                <w:sz w:val="22"/>
                <w:szCs w:val="22"/>
              </w:rPr>
              <w:t>(0.185)</w:t>
            </w:r>
          </w:p>
        </w:tc>
        <w:tc>
          <w:tcPr>
            <w:tcW w:w="1151" w:type="dxa"/>
            <w:noWrap/>
          </w:tcPr>
          <w:p w:rsidR="007124F0" w:rsidRPr="00FD4A39" w:rsidRDefault="007124F0" w:rsidP="0078502E">
            <w:pPr>
              <w:jc w:val="center"/>
              <w:rPr>
                <w:rFonts w:cs="Arial"/>
                <w:sz w:val="22"/>
                <w:szCs w:val="22"/>
              </w:rPr>
            </w:pPr>
          </w:p>
        </w:tc>
        <w:tc>
          <w:tcPr>
            <w:tcW w:w="236" w:type="dxa"/>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1261" w:type="dxa"/>
            <w:noWrap/>
          </w:tcPr>
          <w:p w:rsidR="007124F0" w:rsidRPr="00FD4A39" w:rsidRDefault="007124F0" w:rsidP="0078502E">
            <w:pPr>
              <w:jc w:val="center"/>
              <w:rPr>
                <w:rFonts w:cs="Arial"/>
                <w:sz w:val="22"/>
                <w:szCs w:val="22"/>
              </w:rPr>
            </w:pP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BookLeverage</w:t>
            </w:r>
          </w:p>
        </w:tc>
        <w:tc>
          <w:tcPr>
            <w:tcW w:w="1207" w:type="dxa"/>
            <w:noWrap/>
            <w:vAlign w:val="bottom"/>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0.166</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0.964***</w:t>
            </w:r>
          </w:p>
        </w:tc>
        <w:tc>
          <w:tcPr>
            <w:tcW w:w="1261" w:type="dxa"/>
            <w:noWrap/>
            <w:vAlign w:val="bottom"/>
          </w:tcPr>
          <w:p w:rsidR="007124F0" w:rsidRPr="00FD4A39" w:rsidRDefault="007124F0" w:rsidP="007124F0">
            <w:pPr>
              <w:jc w:val="center"/>
              <w:rPr>
                <w:rFonts w:cs="Arial"/>
                <w:sz w:val="22"/>
                <w:szCs w:val="22"/>
              </w:rPr>
            </w:pP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207"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236" w:type="dxa"/>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r w:rsidRPr="00FD4A39">
              <w:rPr>
                <w:rFonts w:cs="Arial"/>
                <w:sz w:val="22"/>
                <w:szCs w:val="22"/>
              </w:rPr>
              <w:t>(0.175)</w:t>
            </w:r>
          </w:p>
        </w:tc>
        <w:tc>
          <w:tcPr>
            <w:tcW w:w="1151" w:type="dxa"/>
            <w:noWrap/>
          </w:tcPr>
          <w:p w:rsidR="007124F0" w:rsidRPr="00FD4A39" w:rsidRDefault="007124F0" w:rsidP="0078502E">
            <w:pPr>
              <w:jc w:val="center"/>
              <w:rPr>
                <w:rFonts w:cs="Arial"/>
                <w:sz w:val="22"/>
                <w:szCs w:val="22"/>
              </w:rPr>
            </w:pPr>
            <w:r w:rsidRPr="00FD4A39">
              <w:rPr>
                <w:rFonts w:cs="Arial"/>
                <w:sz w:val="22"/>
                <w:szCs w:val="22"/>
              </w:rPr>
              <w:t>(0.156)</w:t>
            </w:r>
          </w:p>
        </w:tc>
        <w:tc>
          <w:tcPr>
            <w:tcW w:w="1261" w:type="dxa"/>
            <w:noWrap/>
          </w:tcPr>
          <w:p w:rsidR="007124F0" w:rsidRPr="00FD4A39" w:rsidRDefault="007124F0" w:rsidP="0078502E">
            <w:pPr>
              <w:jc w:val="center"/>
              <w:rPr>
                <w:rFonts w:cs="Arial"/>
                <w:sz w:val="22"/>
                <w:szCs w:val="22"/>
              </w:rPr>
            </w:pP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SecuredDebt</w:t>
            </w:r>
          </w:p>
        </w:tc>
        <w:tc>
          <w:tcPr>
            <w:tcW w:w="1207" w:type="dxa"/>
            <w:noWrap/>
            <w:vAlign w:val="bottom"/>
          </w:tcPr>
          <w:p w:rsidR="007124F0" w:rsidRPr="00FD4A39" w:rsidRDefault="007124F0" w:rsidP="007124F0">
            <w:pPr>
              <w:jc w:val="center"/>
              <w:rPr>
                <w:rFonts w:cs="Arial"/>
                <w:sz w:val="22"/>
                <w:szCs w:val="22"/>
              </w:rPr>
            </w:pPr>
            <w:r w:rsidRPr="00FD4A39">
              <w:rPr>
                <w:rFonts w:cs="Arial"/>
                <w:sz w:val="22"/>
                <w:szCs w:val="22"/>
              </w:rPr>
              <w:t>-0.035</w:t>
            </w:r>
          </w:p>
        </w:tc>
        <w:tc>
          <w:tcPr>
            <w:tcW w:w="1151" w:type="dxa"/>
            <w:noWrap/>
            <w:vAlign w:val="bottom"/>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-0.225***</w:t>
            </w:r>
          </w:p>
        </w:tc>
        <w:tc>
          <w:tcPr>
            <w:tcW w:w="1151" w:type="dxa"/>
            <w:noWrap/>
            <w:vAlign w:val="bottom"/>
          </w:tcPr>
          <w:p w:rsidR="007124F0" w:rsidRPr="00FD4A39" w:rsidRDefault="007124F0" w:rsidP="007124F0">
            <w:pPr>
              <w:jc w:val="center"/>
              <w:rPr>
                <w:rFonts w:cs="Arial"/>
                <w:sz w:val="22"/>
                <w:szCs w:val="22"/>
              </w:rPr>
            </w:pPr>
          </w:p>
        </w:tc>
        <w:tc>
          <w:tcPr>
            <w:tcW w:w="1261" w:type="dxa"/>
            <w:noWrap/>
            <w:vAlign w:val="bottom"/>
          </w:tcPr>
          <w:p w:rsidR="007124F0" w:rsidRPr="00FD4A39" w:rsidRDefault="007124F0" w:rsidP="007124F0">
            <w:pPr>
              <w:jc w:val="center"/>
              <w:rPr>
                <w:rFonts w:cs="Arial"/>
                <w:sz w:val="22"/>
                <w:szCs w:val="22"/>
              </w:rPr>
            </w:pP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207" w:type="dxa"/>
            <w:noWrap/>
          </w:tcPr>
          <w:p w:rsidR="007124F0" w:rsidRPr="00FD4A39" w:rsidRDefault="007124F0" w:rsidP="0078502E">
            <w:pPr>
              <w:jc w:val="center"/>
              <w:rPr>
                <w:rFonts w:cs="Arial"/>
                <w:sz w:val="22"/>
                <w:szCs w:val="22"/>
              </w:rPr>
            </w:pPr>
            <w:r w:rsidRPr="00FD4A39">
              <w:rPr>
                <w:rFonts w:cs="Arial"/>
                <w:sz w:val="22"/>
                <w:szCs w:val="22"/>
              </w:rPr>
              <w:t>(0.086)</w:t>
            </w:r>
          </w:p>
        </w:tc>
        <w:tc>
          <w:tcPr>
            <w:tcW w:w="1151"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236" w:type="dxa"/>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r w:rsidRPr="00FD4A39">
              <w:rPr>
                <w:rFonts w:cs="Arial"/>
                <w:sz w:val="22"/>
                <w:szCs w:val="22"/>
              </w:rPr>
              <w:t>(0.063)</w:t>
            </w:r>
          </w:p>
        </w:tc>
        <w:tc>
          <w:tcPr>
            <w:tcW w:w="1151" w:type="dxa"/>
            <w:noWrap/>
          </w:tcPr>
          <w:p w:rsidR="007124F0" w:rsidRPr="00FD4A39" w:rsidRDefault="007124F0" w:rsidP="0078502E">
            <w:pPr>
              <w:jc w:val="center"/>
              <w:rPr>
                <w:rFonts w:cs="Arial"/>
                <w:sz w:val="22"/>
                <w:szCs w:val="22"/>
              </w:rPr>
            </w:pPr>
          </w:p>
        </w:tc>
        <w:tc>
          <w:tcPr>
            <w:tcW w:w="1261" w:type="dxa"/>
            <w:noWrap/>
          </w:tcPr>
          <w:p w:rsidR="007124F0" w:rsidRPr="00FD4A39" w:rsidRDefault="007124F0" w:rsidP="0078502E">
            <w:pPr>
              <w:jc w:val="center"/>
              <w:rPr>
                <w:rFonts w:cs="Arial"/>
                <w:sz w:val="22"/>
                <w:szCs w:val="22"/>
              </w:rPr>
            </w:pP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Pr>
                <w:rFonts w:cs="Arial"/>
                <w:i/>
                <w:sz w:val="22"/>
                <w:szCs w:val="22"/>
              </w:rPr>
              <w:t>q</w:t>
            </w:r>
          </w:p>
        </w:tc>
        <w:tc>
          <w:tcPr>
            <w:tcW w:w="1207" w:type="dxa"/>
            <w:noWrap/>
            <w:vAlign w:val="bottom"/>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0.050</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-0.235***</w:t>
            </w: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-0.222**</w:t>
            </w:r>
          </w:p>
        </w:tc>
        <w:tc>
          <w:tcPr>
            <w:tcW w:w="1261" w:type="dxa"/>
            <w:noWrap/>
            <w:vAlign w:val="bottom"/>
          </w:tcPr>
          <w:p w:rsidR="007124F0" w:rsidRPr="00FD4A39" w:rsidRDefault="007124F0" w:rsidP="007124F0">
            <w:pPr>
              <w:jc w:val="center"/>
              <w:rPr>
                <w:rFonts w:cs="Arial"/>
                <w:sz w:val="22"/>
                <w:szCs w:val="22"/>
              </w:rPr>
            </w:pPr>
            <w:r w:rsidRPr="00FD4A39">
              <w:rPr>
                <w:rFonts w:cs="Arial"/>
                <w:sz w:val="22"/>
                <w:szCs w:val="22"/>
              </w:rPr>
              <w:t>0.088</w:t>
            </w:r>
          </w:p>
        </w:tc>
      </w:tr>
      <w:tr w:rsidR="007124F0" w:rsidRPr="00FD4A39" w:rsidTr="007B45DF">
        <w:trPr>
          <w:trHeight w:val="264"/>
        </w:trPr>
        <w:tc>
          <w:tcPr>
            <w:tcW w:w="2508" w:type="dxa"/>
            <w:noWrap/>
          </w:tcPr>
          <w:p w:rsidR="007124F0" w:rsidRPr="00FD4A39" w:rsidRDefault="007124F0" w:rsidP="0078502E">
            <w:pPr>
              <w:jc w:val="center"/>
              <w:rPr>
                <w:rFonts w:cs="Arial"/>
                <w:sz w:val="22"/>
                <w:szCs w:val="22"/>
              </w:rPr>
            </w:pPr>
          </w:p>
        </w:tc>
        <w:tc>
          <w:tcPr>
            <w:tcW w:w="1207"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r w:rsidRPr="00FD4A39">
              <w:rPr>
                <w:rFonts w:cs="Arial"/>
                <w:sz w:val="22"/>
                <w:szCs w:val="22"/>
              </w:rPr>
              <w:t>(0.220)</w:t>
            </w:r>
          </w:p>
        </w:tc>
        <w:tc>
          <w:tcPr>
            <w:tcW w:w="1151" w:type="dxa"/>
            <w:noWrap/>
          </w:tcPr>
          <w:p w:rsidR="007124F0" w:rsidRPr="00FD4A39" w:rsidRDefault="007124F0" w:rsidP="0078502E">
            <w:pPr>
              <w:jc w:val="center"/>
              <w:rPr>
                <w:rFonts w:cs="Arial"/>
                <w:sz w:val="22"/>
                <w:szCs w:val="22"/>
              </w:rPr>
            </w:pPr>
            <w:r w:rsidRPr="00FD4A39">
              <w:rPr>
                <w:rFonts w:cs="Arial"/>
                <w:sz w:val="22"/>
                <w:szCs w:val="22"/>
              </w:rPr>
              <w:t>(0.059)</w:t>
            </w:r>
          </w:p>
        </w:tc>
        <w:tc>
          <w:tcPr>
            <w:tcW w:w="236" w:type="dxa"/>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r w:rsidRPr="00FD4A39">
              <w:rPr>
                <w:rFonts w:cs="Arial"/>
                <w:sz w:val="22"/>
                <w:szCs w:val="22"/>
              </w:rPr>
              <w:t>(0.109)</w:t>
            </w:r>
          </w:p>
        </w:tc>
        <w:tc>
          <w:tcPr>
            <w:tcW w:w="1261" w:type="dxa"/>
            <w:noWrap/>
          </w:tcPr>
          <w:p w:rsidR="007124F0" w:rsidRPr="00FD4A39" w:rsidRDefault="007124F0" w:rsidP="0078502E">
            <w:pPr>
              <w:jc w:val="center"/>
              <w:rPr>
                <w:rFonts w:cs="Arial"/>
                <w:sz w:val="22"/>
                <w:szCs w:val="22"/>
              </w:rPr>
            </w:pPr>
            <w:r w:rsidRPr="00FD4A39">
              <w:rPr>
                <w:rFonts w:cs="Arial"/>
                <w:sz w:val="22"/>
                <w:szCs w:val="22"/>
              </w:rPr>
              <w:t>(0.085)</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EarningsChange</w:t>
            </w:r>
          </w:p>
        </w:tc>
        <w:tc>
          <w:tcPr>
            <w:tcW w:w="1207" w:type="dxa"/>
            <w:noWrap/>
            <w:vAlign w:val="bottom"/>
          </w:tcPr>
          <w:p w:rsidR="007124F0" w:rsidRPr="00FD4A39" w:rsidRDefault="007124F0" w:rsidP="007124F0">
            <w:pPr>
              <w:jc w:val="center"/>
              <w:rPr>
                <w:rFonts w:cs="Arial"/>
                <w:sz w:val="22"/>
                <w:szCs w:val="22"/>
              </w:rPr>
            </w:pPr>
            <w:r w:rsidRPr="00FD4A39">
              <w:rPr>
                <w:rFonts w:cs="Arial"/>
                <w:sz w:val="22"/>
                <w:szCs w:val="22"/>
              </w:rPr>
              <w:t>0.600*</w:t>
            </w:r>
          </w:p>
        </w:tc>
        <w:tc>
          <w:tcPr>
            <w:tcW w:w="1151" w:type="dxa"/>
            <w:noWrap/>
            <w:vAlign w:val="bottom"/>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0.967***</w:t>
            </w:r>
          </w:p>
        </w:tc>
        <w:tc>
          <w:tcPr>
            <w:tcW w:w="1151" w:type="dxa"/>
            <w:noWrap/>
            <w:vAlign w:val="bottom"/>
          </w:tcPr>
          <w:p w:rsidR="007124F0" w:rsidRPr="00FD4A39" w:rsidRDefault="007124F0" w:rsidP="007124F0">
            <w:pPr>
              <w:jc w:val="center"/>
              <w:rPr>
                <w:rFonts w:cs="Arial"/>
                <w:sz w:val="22"/>
                <w:szCs w:val="22"/>
              </w:rPr>
            </w:pPr>
          </w:p>
        </w:tc>
        <w:tc>
          <w:tcPr>
            <w:tcW w:w="1261" w:type="dxa"/>
            <w:noWrap/>
            <w:vAlign w:val="bottom"/>
          </w:tcPr>
          <w:p w:rsidR="007124F0" w:rsidRPr="00FD4A39" w:rsidRDefault="007124F0" w:rsidP="007124F0">
            <w:pPr>
              <w:jc w:val="center"/>
              <w:rPr>
                <w:rFonts w:cs="Arial"/>
                <w:sz w:val="22"/>
                <w:szCs w:val="22"/>
              </w:rPr>
            </w:pPr>
          </w:p>
        </w:tc>
      </w:tr>
      <w:tr w:rsidR="007124F0" w:rsidRPr="00FD4A39" w:rsidTr="007B45DF">
        <w:trPr>
          <w:trHeight w:val="264"/>
        </w:trPr>
        <w:tc>
          <w:tcPr>
            <w:tcW w:w="2508" w:type="dxa"/>
            <w:noWrap/>
          </w:tcPr>
          <w:p w:rsidR="007124F0" w:rsidRPr="00FD4A39" w:rsidRDefault="007124F0" w:rsidP="0078502E">
            <w:pPr>
              <w:jc w:val="center"/>
              <w:rPr>
                <w:rFonts w:cs="Arial"/>
                <w:i/>
                <w:sz w:val="22"/>
                <w:szCs w:val="22"/>
              </w:rPr>
            </w:pPr>
          </w:p>
        </w:tc>
        <w:tc>
          <w:tcPr>
            <w:tcW w:w="1207" w:type="dxa"/>
            <w:noWrap/>
          </w:tcPr>
          <w:p w:rsidR="007124F0" w:rsidRPr="00FD4A39" w:rsidRDefault="007124F0" w:rsidP="0078502E">
            <w:pPr>
              <w:jc w:val="center"/>
              <w:rPr>
                <w:rFonts w:cs="Arial"/>
                <w:sz w:val="22"/>
                <w:szCs w:val="22"/>
              </w:rPr>
            </w:pPr>
            <w:r w:rsidRPr="00FD4A39">
              <w:rPr>
                <w:rFonts w:cs="Arial"/>
                <w:sz w:val="22"/>
                <w:szCs w:val="22"/>
              </w:rPr>
              <w:t>(0.335)</w:t>
            </w:r>
          </w:p>
        </w:tc>
        <w:tc>
          <w:tcPr>
            <w:tcW w:w="1151" w:type="dxa"/>
            <w:noWrap/>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p>
        </w:tc>
        <w:tc>
          <w:tcPr>
            <w:tcW w:w="236" w:type="dxa"/>
          </w:tcPr>
          <w:p w:rsidR="007124F0" w:rsidRPr="00FD4A39" w:rsidRDefault="007124F0" w:rsidP="0078502E">
            <w:pPr>
              <w:jc w:val="center"/>
              <w:rPr>
                <w:rFonts w:cs="Arial"/>
                <w:sz w:val="22"/>
                <w:szCs w:val="22"/>
              </w:rPr>
            </w:pPr>
          </w:p>
        </w:tc>
        <w:tc>
          <w:tcPr>
            <w:tcW w:w="1151" w:type="dxa"/>
            <w:noWrap/>
          </w:tcPr>
          <w:p w:rsidR="007124F0" w:rsidRPr="00FD4A39" w:rsidRDefault="007124F0" w:rsidP="0078502E">
            <w:pPr>
              <w:jc w:val="center"/>
              <w:rPr>
                <w:rFonts w:cs="Arial"/>
                <w:sz w:val="22"/>
                <w:szCs w:val="22"/>
              </w:rPr>
            </w:pPr>
            <w:r w:rsidRPr="00FD4A39">
              <w:rPr>
                <w:rFonts w:cs="Arial"/>
                <w:sz w:val="22"/>
                <w:szCs w:val="22"/>
              </w:rPr>
              <w:t>(0.369)</w:t>
            </w:r>
          </w:p>
        </w:tc>
        <w:tc>
          <w:tcPr>
            <w:tcW w:w="1151" w:type="dxa"/>
            <w:noWrap/>
          </w:tcPr>
          <w:p w:rsidR="007124F0" w:rsidRPr="00FD4A39" w:rsidRDefault="007124F0" w:rsidP="0078502E">
            <w:pPr>
              <w:jc w:val="center"/>
              <w:rPr>
                <w:rFonts w:cs="Arial"/>
                <w:sz w:val="22"/>
                <w:szCs w:val="22"/>
              </w:rPr>
            </w:pPr>
          </w:p>
        </w:tc>
        <w:tc>
          <w:tcPr>
            <w:tcW w:w="1261" w:type="dxa"/>
            <w:noWrap/>
          </w:tcPr>
          <w:p w:rsidR="007124F0" w:rsidRPr="00FD4A39" w:rsidRDefault="007124F0" w:rsidP="0078502E">
            <w:pPr>
              <w:jc w:val="center"/>
              <w:rPr>
                <w:rFonts w:cs="Arial"/>
                <w:sz w:val="22"/>
                <w:szCs w:val="22"/>
              </w:rPr>
            </w:pP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Size</w:t>
            </w:r>
          </w:p>
        </w:tc>
        <w:tc>
          <w:tcPr>
            <w:tcW w:w="1207" w:type="dxa"/>
            <w:noWrap/>
            <w:vAlign w:val="bottom"/>
          </w:tcPr>
          <w:p w:rsidR="007124F0" w:rsidRPr="00FD4A39" w:rsidRDefault="007124F0" w:rsidP="007124F0">
            <w:pPr>
              <w:jc w:val="center"/>
              <w:rPr>
                <w:rFonts w:cs="Arial"/>
                <w:sz w:val="22"/>
                <w:szCs w:val="22"/>
              </w:rPr>
            </w:pPr>
            <w:r w:rsidRPr="00FD4A39">
              <w:rPr>
                <w:rFonts w:cs="Arial"/>
                <w:sz w:val="22"/>
                <w:szCs w:val="22"/>
              </w:rPr>
              <w:t>-0.006</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-0.118***</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-0.007</w:t>
            </w: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-0.010</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-0.096***</w:t>
            </w:r>
          </w:p>
        </w:tc>
        <w:tc>
          <w:tcPr>
            <w:tcW w:w="1261" w:type="dxa"/>
            <w:noWrap/>
            <w:vAlign w:val="bottom"/>
          </w:tcPr>
          <w:p w:rsidR="007124F0" w:rsidRPr="00FD4A39" w:rsidRDefault="007124F0" w:rsidP="007124F0">
            <w:pPr>
              <w:jc w:val="center"/>
              <w:rPr>
                <w:rFonts w:cs="Arial"/>
                <w:sz w:val="22"/>
                <w:szCs w:val="22"/>
              </w:rPr>
            </w:pPr>
            <w:r w:rsidRPr="00FD4A39">
              <w:rPr>
                <w:rFonts w:cs="Arial"/>
                <w:sz w:val="22"/>
                <w:szCs w:val="22"/>
              </w:rPr>
              <w:t>-0.004</w:t>
            </w:r>
          </w:p>
        </w:tc>
      </w:tr>
      <w:tr w:rsidR="007124F0" w:rsidRPr="00FD4A39" w:rsidTr="007B45DF">
        <w:trPr>
          <w:trHeight w:val="264"/>
        </w:trPr>
        <w:tc>
          <w:tcPr>
            <w:tcW w:w="2508" w:type="dxa"/>
            <w:noWrap/>
          </w:tcPr>
          <w:p w:rsidR="007124F0" w:rsidRPr="00FD4A39" w:rsidRDefault="007124F0" w:rsidP="007124F0">
            <w:pPr>
              <w:jc w:val="center"/>
              <w:rPr>
                <w:rFonts w:cs="Arial"/>
                <w:i/>
                <w:sz w:val="22"/>
                <w:szCs w:val="22"/>
              </w:rPr>
            </w:pPr>
          </w:p>
        </w:tc>
        <w:tc>
          <w:tcPr>
            <w:tcW w:w="1207" w:type="dxa"/>
            <w:noWrap/>
          </w:tcPr>
          <w:p w:rsidR="007124F0" w:rsidRPr="00FD4A39" w:rsidRDefault="007124F0" w:rsidP="007124F0">
            <w:pPr>
              <w:jc w:val="center"/>
              <w:rPr>
                <w:rFonts w:cs="Arial"/>
                <w:sz w:val="22"/>
                <w:szCs w:val="22"/>
              </w:rPr>
            </w:pPr>
            <w:r w:rsidRPr="00FD4A39">
              <w:rPr>
                <w:rFonts w:cs="Arial"/>
                <w:sz w:val="22"/>
                <w:szCs w:val="22"/>
              </w:rPr>
              <w:t>(0.020)</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(0.035)</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(0.011)</w:t>
            </w:r>
          </w:p>
        </w:tc>
        <w:tc>
          <w:tcPr>
            <w:tcW w:w="236" w:type="dxa"/>
          </w:tcPr>
          <w:p w:rsidR="007124F0" w:rsidRPr="00FD4A39" w:rsidRDefault="007124F0" w:rsidP="007124F0">
            <w:pPr>
              <w:jc w:val="center"/>
              <w:rPr>
                <w:rFonts w:cs="Arial"/>
                <w:sz w:val="22"/>
                <w:szCs w:val="22"/>
              </w:rPr>
            </w:pPr>
          </w:p>
        </w:tc>
        <w:tc>
          <w:tcPr>
            <w:tcW w:w="1151" w:type="dxa"/>
            <w:noWrap/>
          </w:tcPr>
          <w:p w:rsidR="007124F0" w:rsidRPr="00FD4A39" w:rsidRDefault="007124F0" w:rsidP="007124F0">
            <w:pPr>
              <w:jc w:val="center"/>
              <w:rPr>
                <w:rFonts w:cs="Arial"/>
                <w:sz w:val="22"/>
                <w:szCs w:val="22"/>
              </w:rPr>
            </w:pPr>
            <w:r w:rsidRPr="00FD4A39">
              <w:rPr>
                <w:rFonts w:cs="Arial"/>
                <w:sz w:val="22"/>
                <w:szCs w:val="22"/>
              </w:rPr>
              <w:t>(0.023)</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(0.018)</w:t>
            </w:r>
          </w:p>
        </w:tc>
        <w:tc>
          <w:tcPr>
            <w:tcW w:w="1261" w:type="dxa"/>
            <w:noWrap/>
          </w:tcPr>
          <w:p w:rsidR="007124F0" w:rsidRPr="00FD4A39" w:rsidRDefault="007124F0" w:rsidP="007124F0">
            <w:pPr>
              <w:jc w:val="center"/>
              <w:rPr>
                <w:rFonts w:cs="Arial"/>
                <w:sz w:val="22"/>
                <w:szCs w:val="22"/>
              </w:rPr>
            </w:pPr>
            <w:r w:rsidRPr="00FD4A39">
              <w:rPr>
                <w:rFonts w:cs="Arial"/>
                <w:sz w:val="22"/>
                <w:szCs w:val="22"/>
              </w:rPr>
              <w:t>(0.013)</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Profitability</w:t>
            </w:r>
          </w:p>
        </w:tc>
        <w:tc>
          <w:tcPr>
            <w:tcW w:w="1207" w:type="dxa"/>
            <w:noWrap/>
            <w:vAlign w:val="bottom"/>
          </w:tcPr>
          <w:p w:rsidR="007124F0" w:rsidRPr="00FD4A39" w:rsidRDefault="007124F0" w:rsidP="007124F0">
            <w:pPr>
              <w:jc w:val="center"/>
              <w:rPr>
                <w:rFonts w:cs="Arial"/>
                <w:sz w:val="22"/>
                <w:szCs w:val="22"/>
              </w:rPr>
            </w:pPr>
            <w:r w:rsidRPr="00FD4A39">
              <w:rPr>
                <w:rFonts w:cs="Arial"/>
                <w:sz w:val="22"/>
                <w:szCs w:val="22"/>
              </w:rPr>
              <w:t>4.722***</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1.582</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0.539</w:t>
            </w: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5.608***</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0.023</w:t>
            </w:r>
          </w:p>
        </w:tc>
        <w:tc>
          <w:tcPr>
            <w:tcW w:w="1261" w:type="dxa"/>
            <w:noWrap/>
            <w:vAlign w:val="bottom"/>
          </w:tcPr>
          <w:p w:rsidR="007124F0" w:rsidRPr="00FD4A39" w:rsidRDefault="007124F0" w:rsidP="007124F0">
            <w:pPr>
              <w:jc w:val="center"/>
              <w:rPr>
                <w:rFonts w:cs="Arial"/>
                <w:sz w:val="22"/>
                <w:szCs w:val="22"/>
              </w:rPr>
            </w:pPr>
            <w:r w:rsidRPr="00FD4A39">
              <w:rPr>
                <w:rFonts w:cs="Arial"/>
                <w:sz w:val="22"/>
                <w:szCs w:val="22"/>
              </w:rPr>
              <w:t>0.819</w:t>
            </w:r>
          </w:p>
        </w:tc>
      </w:tr>
      <w:tr w:rsidR="007124F0" w:rsidRPr="00FD4A39" w:rsidTr="007B45DF">
        <w:trPr>
          <w:trHeight w:val="264"/>
        </w:trPr>
        <w:tc>
          <w:tcPr>
            <w:tcW w:w="2508" w:type="dxa"/>
            <w:noWrap/>
          </w:tcPr>
          <w:p w:rsidR="007124F0" w:rsidRPr="00FD4A39" w:rsidRDefault="007124F0" w:rsidP="007124F0">
            <w:pPr>
              <w:jc w:val="center"/>
              <w:rPr>
                <w:rFonts w:cs="Arial"/>
                <w:i/>
                <w:sz w:val="22"/>
                <w:szCs w:val="22"/>
              </w:rPr>
            </w:pPr>
          </w:p>
        </w:tc>
        <w:tc>
          <w:tcPr>
            <w:tcW w:w="1207" w:type="dxa"/>
            <w:noWrap/>
          </w:tcPr>
          <w:p w:rsidR="007124F0" w:rsidRPr="00FD4A39" w:rsidRDefault="007124F0" w:rsidP="007124F0">
            <w:pPr>
              <w:jc w:val="center"/>
              <w:rPr>
                <w:rFonts w:cs="Arial"/>
                <w:sz w:val="22"/>
                <w:szCs w:val="22"/>
              </w:rPr>
            </w:pPr>
            <w:r w:rsidRPr="00FD4A39">
              <w:rPr>
                <w:rFonts w:cs="Arial"/>
                <w:sz w:val="22"/>
                <w:szCs w:val="22"/>
              </w:rPr>
              <w:t>(1.239)</w:t>
            </w:r>
          </w:p>
        </w:tc>
        <w:tc>
          <w:tcPr>
            <w:tcW w:w="1151" w:type="dxa"/>
            <w:noWrap/>
          </w:tcPr>
          <w:p w:rsidR="007124F0" w:rsidRPr="00FD4A39" w:rsidRDefault="007124F0" w:rsidP="007124F0">
            <w:pPr>
              <w:jc w:val="center"/>
              <w:rPr>
                <w:rFonts w:cs="Arial"/>
                <w:sz w:val="22"/>
                <w:szCs w:val="22"/>
              </w:rPr>
            </w:pPr>
            <w:r w:rsidRPr="00FD4A39">
              <w:rPr>
                <w:rFonts w:cs="Arial"/>
                <w:sz w:val="22"/>
                <w:szCs w:val="22"/>
              </w:rPr>
              <w:t>(1.500)</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(0.531)</w:t>
            </w:r>
          </w:p>
        </w:tc>
        <w:tc>
          <w:tcPr>
            <w:tcW w:w="236" w:type="dxa"/>
          </w:tcPr>
          <w:p w:rsidR="007124F0" w:rsidRPr="00FD4A39" w:rsidRDefault="007124F0" w:rsidP="007124F0">
            <w:pPr>
              <w:jc w:val="center"/>
              <w:rPr>
                <w:rFonts w:cs="Arial"/>
                <w:sz w:val="22"/>
                <w:szCs w:val="22"/>
              </w:rPr>
            </w:pPr>
          </w:p>
        </w:tc>
        <w:tc>
          <w:tcPr>
            <w:tcW w:w="1151" w:type="dxa"/>
            <w:noWrap/>
          </w:tcPr>
          <w:p w:rsidR="007124F0" w:rsidRPr="00FD4A39" w:rsidRDefault="007124F0" w:rsidP="007124F0">
            <w:pPr>
              <w:jc w:val="center"/>
              <w:rPr>
                <w:rFonts w:cs="Arial"/>
                <w:sz w:val="22"/>
                <w:szCs w:val="22"/>
              </w:rPr>
            </w:pPr>
            <w:r w:rsidRPr="00FD4A39">
              <w:rPr>
                <w:rFonts w:cs="Arial"/>
                <w:sz w:val="22"/>
                <w:szCs w:val="22"/>
              </w:rPr>
              <w:t>(1.219)</w:t>
            </w:r>
          </w:p>
        </w:tc>
        <w:tc>
          <w:tcPr>
            <w:tcW w:w="1151" w:type="dxa"/>
            <w:noWrap/>
          </w:tcPr>
          <w:p w:rsidR="007124F0" w:rsidRPr="00FD4A39" w:rsidRDefault="007124F0" w:rsidP="007124F0">
            <w:pPr>
              <w:jc w:val="center"/>
              <w:rPr>
                <w:rFonts w:cs="Arial"/>
                <w:sz w:val="22"/>
                <w:szCs w:val="22"/>
              </w:rPr>
            </w:pPr>
            <w:r w:rsidRPr="00FD4A39">
              <w:rPr>
                <w:rFonts w:cs="Arial"/>
                <w:sz w:val="22"/>
                <w:szCs w:val="22"/>
              </w:rPr>
              <w:t>(1.116)</w:t>
            </w:r>
          </w:p>
        </w:tc>
        <w:tc>
          <w:tcPr>
            <w:tcW w:w="1261" w:type="dxa"/>
            <w:noWrap/>
          </w:tcPr>
          <w:p w:rsidR="007124F0" w:rsidRPr="00FD4A39" w:rsidRDefault="007124F0" w:rsidP="007124F0">
            <w:pPr>
              <w:jc w:val="center"/>
              <w:rPr>
                <w:rFonts w:cs="Arial"/>
                <w:sz w:val="22"/>
                <w:szCs w:val="22"/>
              </w:rPr>
            </w:pPr>
            <w:r w:rsidRPr="00FD4A39">
              <w:rPr>
                <w:rFonts w:cs="Arial"/>
                <w:sz w:val="22"/>
                <w:szCs w:val="22"/>
              </w:rPr>
              <w:t>(0.682)</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EarningsVolatility</w:t>
            </w:r>
          </w:p>
        </w:tc>
        <w:tc>
          <w:tcPr>
            <w:tcW w:w="1207" w:type="dxa"/>
            <w:noWrap/>
            <w:vAlign w:val="bottom"/>
          </w:tcPr>
          <w:p w:rsidR="007124F0" w:rsidRPr="00FD4A39" w:rsidRDefault="007124F0" w:rsidP="007124F0">
            <w:pPr>
              <w:jc w:val="center"/>
              <w:rPr>
                <w:rFonts w:cs="Arial"/>
                <w:sz w:val="22"/>
                <w:szCs w:val="22"/>
              </w:rPr>
            </w:pPr>
            <w:r w:rsidRPr="00FD4A39">
              <w:rPr>
                <w:rFonts w:cs="Arial"/>
                <w:sz w:val="22"/>
                <w:szCs w:val="22"/>
              </w:rPr>
              <w:t>0.416</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-0.396</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0.782</w:t>
            </w: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0.698</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-0.429</w:t>
            </w:r>
          </w:p>
        </w:tc>
        <w:tc>
          <w:tcPr>
            <w:tcW w:w="1261" w:type="dxa"/>
            <w:noWrap/>
            <w:vAlign w:val="bottom"/>
          </w:tcPr>
          <w:p w:rsidR="007124F0" w:rsidRPr="00FD4A39" w:rsidRDefault="007124F0" w:rsidP="007124F0">
            <w:pPr>
              <w:jc w:val="center"/>
              <w:rPr>
                <w:rFonts w:cs="Arial"/>
                <w:sz w:val="22"/>
                <w:szCs w:val="22"/>
              </w:rPr>
            </w:pPr>
            <w:r w:rsidRPr="00FD4A39">
              <w:rPr>
                <w:rFonts w:cs="Arial"/>
                <w:sz w:val="22"/>
                <w:szCs w:val="22"/>
              </w:rPr>
              <w:t>1.084</w:t>
            </w:r>
          </w:p>
        </w:tc>
      </w:tr>
      <w:tr w:rsidR="007124F0" w:rsidRPr="00FD4A39" w:rsidTr="007B45DF">
        <w:trPr>
          <w:trHeight w:val="264"/>
        </w:trPr>
        <w:tc>
          <w:tcPr>
            <w:tcW w:w="2508" w:type="dxa"/>
            <w:noWrap/>
          </w:tcPr>
          <w:p w:rsidR="007124F0" w:rsidRPr="00FD4A39" w:rsidRDefault="007124F0" w:rsidP="007124F0">
            <w:pPr>
              <w:jc w:val="center"/>
              <w:rPr>
                <w:rFonts w:cs="Arial"/>
                <w:i/>
                <w:sz w:val="22"/>
                <w:szCs w:val="22"/>
              </w:rPr>
            </w:pPr>
          </w:p>
        </w:tc>
        <w:tc>
          <w:tcPr>
            <w:tcW w:w="1207" w:type="dxa"/>
            <w:noWrap/>
          </w:tcPr>
          <w:p w:rsidR="007124F0" w:rsidRPr="00FD4A39" w:rsidRDefault="007124F0" w:rsidP="007124F0">
            <w:pPr>
              <w:jc w:val="center"/>
              <w:rPr>
                <w:rFonts w:cs="Arial"/>
                <w:sz w:val="22"/>
                <w:szCs w:val="22"/>
              </w:rPr>
            </w:pPr>
            <w:r w:rsidRPr="00FD4A39">
              <w:rPr>
                <w:rFonts w:cs="Arial"/>
                <w:sz w:val="22"/>
                <w:szCs w:val="22"/>
              </w:rPr>
              <w:t>(1.472)</w:t>
            </w:r>
          </w:p>
        </w:tc>
        <w:tc>
          <w:tcPr>
            <w:tcW w:w="1151" w:type="dxa"/>
            <w:noWrap/>
          </w:tcPr>
          <w:p w:rsidR="007124F0" w:rsidRPr="00FD4A39" w:rsidRDefault="007124F0" w:rsidP="007124F0">
            <w:pPr>
              <w:jc w:val="center"/>
              <w:rPr>
                <w:rFonts w:cs="Arial"/>
                <w:sz w:val="22"/>
                <w:szCs w:val="22"/>
              </w:rPr>
            </w:pPr>
            <w:r w:rsidRPr="00FD4A39">
              <w:rPr>
                <w:rFonts w:cs="Arial"/>
                <w:sz w:val="22"/>
                <w:szCs w:val="22"/>
              </w:rPr>
              <w:t>(2.075)</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(0.597)</w:t>
            </w:r>
          </w:p>
        </w:tc>
        <w:tc>
          <w:tcPr>
            <w:tcW w:w="236" w:type="dxa"/>
          </w:tcPr>
          <w:p w:rsidR="007124F0" w:rsidRPr="00FD4A39" w:rsidRDefault="007124F0" w:rsidP="007124F0">
            <w:pPr>
              <w:jc w:val="center"/>
              <w:rPr>
                <w:rFonts w:cs="Arial"/>
                <w:sz w:val="22"/>
                <w:szCs w:val="22"/>
              </w:rPr>
            </w:pPr>
          </w:p>
        </w:tc>
        <w:tc>
          <w:tcPr>
            <w:tcW w:w="1151" w:type="dxa"/>
            <w:noWrap/>
          </w:tcPr>
          <w:p w:rsidR="007124F0" w:rsidRPr="00FD4A39" w:rsidRDefault="007124F0" w:rsidP="007124F0">
            <w:pPr>
              <w:jc w:val="center"/>
              <w:rPr>
                <w:rFonts w:cs="Arial"/>
                <w:sz w:val="22"/>
                <w:szCs w:val="22"/>
              </w:rPr>
            </w:pPr>
            <w:r w:rsidRPr="00FD4A39">
              <w:rPr>
                <w:rFonts w:cs="Arial"/>
                <w:sz w:val="22"/>
                <w:szCs w:val="22"/>
              </w:rPr>
              <w:t>(1.157)</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(0.956)</w:t>
            </w:r>
          </w:p>
        </w:tc>
        <w:tc>
          <w:tcPr>
            <w:tcW w:w="1261" w:type="dxa"/>
            <w:noWrap/>
          </w:tcPr>
          <w:p w:rsidR="007124F0" w:rsidRPr="00FD4A39" w:rsidRDefault="007124F0" w:rsidP="007124F0">
            <w:pPr>
              <w:jc w:val="center"/>
              <w:rPr>
                <w:rFonts w:cs="Arial"/>
                <w:sz w:val="22"/>
                <w:szCs w:val="22"/>
              </w:rPr>
            </w:pPr>
            <w:r w:rsidRPr="00FD4A39">
              <w:rPr>
                <w:rFonts w:cs="Arial"/>
                <w:sz w:val="22"/>
                <w:szCs w:val="22"/>
              </w:rPr>
              <w:t>(0.686)</w:t>
            </w:r>
          </w:p>
        </w:tc>
      </w:tr>
      <w:tr w:rsidR="007124F0" w:rsidRPr="00FD4A39" w:rsidTr="007B45DF">
        <w:trPr>
          <w:trHeight w:val="264"/>
        </w:trPr>
        <w:tc>
          <w:tcPr>
            <w:tcW w:w="2508" w:type="dxa"/>
            <w:noWrap/>
            <w:vAlign w:val="bottom"/>
          </w:tcPr>
          <w:p w:rsidR="007124F0" w:rsidRPr="00FD4A39" w:rsidRDefault="007124F0" w:rsidP="007124F0">
            <w:pPr>
              <w:rPr>
                <w:rFonts w:cs="Arial"/>
                <w:i/>
                <w:sz w:val="22"/>
                <w:szCs w:val="22"/>
              </w:rPr>
            </w:pPr>
            <w:r w:rsidRPr="00FD4A39">
              <w:rPr>
                <w:rFonts w:cs="Arial"/>
                <w:i/>
                <w:sz w:val="22"/>
                <w:szCs w:val="22"/>
              </w:rPr>
              <w:t>FirmAge</w:t>
            </w:r>
          </w:p>
        </w:tc>
        <w:tc>
          <w:tcPr>
            <w:tcW w:w="1207" w:type="dxa"/>
            <w:noWrap/>
            <w:vAlign w:val="bottom"/>
          </w:tcPr>
          <w:p w:rsidR="007124F0" w:rsidRPr="00FD4A39" w:rsidRDefault="007124F0" w:rsidP="007124F0">
            <w:pPr>
              <w:jc w:val="center"/>
              <w:rPr>
                <w:rFonts w:cs="Arial"/>
                <w:sz w:val="22"/>
                <w:szCs w:val="22"/>
              </w:rPr>
            </w:pPr>
            <w:r w:rsidRPr="00FD4A39">
              <w:rPr>
                <w:rFonts w:cs="Arial"/>
                <w:sz w:val="22"/>
                <w:szCs w:val="22"/>
              </w:rPr>
              <w:t>-0.016</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-0.059*</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-0.022</w:t>
            </w:r>
          </w:p>
        </w:tc>
        <w:tc>
          <w:tcPr>
            <w:tcW w:w="236" w:type="dxa"/>
          </w:tcPr>
          <w:p w:rsidR="007124F0" w:rsidRPr="00FD4A39" w:rsidRDefault="007124F0" w:rsidP="007124F0">
            <w:pPr>
              <w:jc w:val="center"/>
              <w:rPr>
                <w:rFonts w:cs="Arial"/>
                <w:sz w:val="22"/>
                <w:szCs w:val="22"/>
              </w:rPr>
            </w:pP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-0.014</w:t>
            </w:r>
          </w:p>
        </w:tc>
        <w:tc>
          <w:tcPr>
            <w:tcW w:w="1151" w:type="dxa"/>
            <w:noWrap/>
            <w:vAlign w:val="bottom"/>
          </w:tcPr>
          <w:p w:rsidR="007124F0" w:rsidRPr="00FD4A39" w:rsidRDefault="007124F0" w:rsidP="007124F0">
            <w:pPr>
              <w:jc w:val="center"/>
              <w:rPr>
                <w:rFonts w:cs="Arial"/>
                <w:sz w:val="22"/>
                <w:szCs w:val="22"/>
              </w:rPr>
            </w:pPr>
            <w:r w:rsidRPr="00FD4A39">
              <w:rPr>
                <w:rFonts w:cs="Arial"/>
                <w:sz w:val="22"/>
                <w:szCs w:val="22"/>
              </w:rPr>
              <w:t>-0.011</w:t>
            </w:r>
          </w:p>
        </w:tc>
        <w:tc>
          <w:tcPr>
            <w:tcW w:w="1261" w:type="dxa"/>
            <w:noWrap/>
            <w:vAlign w:val="bottom"/>
          </w:tcPr>
          <w:p w:rsidR="007124F0" w:rsidRPr="00FD4A39" w:rsidRDefault="007124F0" w:rsidP="007124F0">
            <w:pPr>
              <w:jc w:val="center"/>
              <w:rPr>
                <w:rFonts w:cs="Arial"/>
                <w:sz w:val="22"/>
                <w:szCs w:val="22"/>
              </w:rPr>
            </w:pPr>
            <w:r w:rsidRPr="00FD4A39">
              <w:rPr>
                <w:rFonts w:cs="Arial"/>
                <w:sz w:val="22"/>
                <w:szCs w:val="22"/>
              </w:rPr>
              <w:t>-0.035*</w:t>
            </w:r>
          </w:p>
        </w:tc>
      </w:tr>
      <w:tr w:rsidR="007124F0" w:rsidRPr="00FD4A39" w:rsidTr="007B45DF">
        <w:trPr>
          <w:trHeight w:val="264"/>
        </w:trPr>
        <w:tc>
          <w:tcPr>
            <w:tcW w:w="2508" w:type="dxa"/>
            <w:noWrap/>
          </w:tcPr>
          <w:p w:rsidR="007124F0" w:rsidRPr="00FD4A39" w:rsidRDefault="007124F0" w:rsidP="007124F0">
            <w:pPr>
              <w:jc w:val="center"/>
              <w:rPr>
                <w:rFonts w:cs="Arial"/>
                <w:sz w:val="22"/>
                <w:szCs w:val="22"/>
              </w:rPr>
            </w:pPr>
          </w:p>
        </w:tc>
        <w:tc>
          <w:tcPr>
            <w:tcW w:w="1207" w:type="dxa"/>
            <w:noWrap/>
          </w:tcPr>
          <w:p w:rsidR="007124F0" w:rsidRPr="00FD4A39" w:rsidRDefault="007124F0" w:rsidP="007124F0">
            <w:pPr>
              <w:jc w:val="center"/>
              <w:rPr>
                <w:rFonts w:cs="Arial"/>
                <w:sz w:val="22"/>
                <w:szCs w:val="22"/>
              </w:rPr>
            </w:pPr>
            <w:r w:rsidRPr="00FD4A39">
              <w:rPr>
                <w:rFonts w:cs="Arial"/>
                <w:sz w:val="22"/>
                <w:szCs w:val="22"/>
              </w:rPr>
              <w:t>(0.021)</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(0.034)</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(0.015)</w:t>
            </w:r>
          </w:p>
        </w:tc>
        <w:tc>
          <w:tcPr>
            <w:tcW w:w="236" w:type="dxa"/>
          </w:tcPr>
          <w:p w:rsidR="007124F0" w:rsidRPr="00FD4A39" w:rsidRDefault="007124F0" w:rsidP="007124F0">
            <w:pPr>
              <w:jc w:val="center"/>
              <w:rPr>
                <w:rFonts w:cs="Arial"/>
                <w:sz w:val="22"/>
                <w:szCs w:val="22"/>
              </w:rPr>
            </w:pPr>
          </w:p>
        </w:tc>
        <w:tc>
          <w:tcPr>
            <w:tcW w:w="1151" w:type="dxa"/>
            <w:noWrap/>
          </w:tcPr>
          <w:p w:rsidR="007124F0" w:rsidRPr="00FD4A39" w:rsidRDefault="007124F0" w:rsidP="007124F0">
            <w:pPr>
              <w:jc w:val="center"/>
              <w:rPr>
                <w:rFonts w:cs="Arial"/>
                <w:sz w:val="22"/>
                <w:szCs w:val="22"/>
              </w:rPr>
            </w:pPr>
            <w:r w:rsidRPr="00FD4A39">
              <w:rPr>
                <w:rFonts w:cs="Arial"/>
                <w:sz w:val="22"/>
                <w:szCs w:val="22"/>
              </w:rPr>
              <w:t>(0.020)</w:t>
            </w:r>
          </w:p>
        </w:tc>
        <w:tc>
          <w:tcPr>
            <w:tcW w:w="1151" w:type="dxa"/>
            <w:noWrap/>
          </w:tcPr>
          <w:p w:rsidR="007124F0" w:rsidRPr="00FD4A39" w:rsidRDefault="007124F0" w:rsidP="007124F0">
            <w:pPr>
              <w:jc w:val="center"/>
              <w:rPr>
                <w:rFonts w:cs="Arial"/>
                <w:sz w:val="22"/>
                <w:szCs w:val="22"/>
              </w:rPr>
            </w:pPr>
            <w:r w:rsidRPr="00FD4A39">
              <w:rPr>
                <w:rFonts w:cs="Arial"/>
                <w:sz w:val="22"/>
                <w:szCs w:val="22"/>
              </w:rPr>
              <w:t>(0.025)</w:t>
            </w:r>
          </w:p>
        </w:tc>
        <w:tc>
          <w:tcPr>
            <w:tcW w:w="1261" w:type="dxa"/>
            <w:noWrap/>
          </w:tcPr>
          <w:p w:rsidR="007124F0" w:rsidRPr="00FD4A39" w:rsidRDefault="007124F0" w:rsidP="007124F0">
            <w:pPr>
              <w:jc w:val="center"/>
              <w:rPr>
                <w:rFonts w:cs="Arial"/>
                <w:sz w:val="22"/>
                <w:szCs w:val="22"/>
              </w:rPr>
            </w:pPr>
            <w:r w:rsidRPr="00FD4A39">
              <w:rPr>
                <w:rFonts w:cs="Arial"/>
                <w:sz w:val="22"/>
                <w:szCs w:val="22"/>
              </w:rPr>
              <w:t>(0.019)</w:t>
            </w:r>
          </w:p>
        </w:tc>
      </w:tr>
      <w:tr w:rsidR="007124F0" w:rsidRPr="00FD4A39" w:rsidTr="007B45DF">
        <w:trPr>
          <w:trHeight w:val="264"/>
        </w:trPr>
        <w:tc>
          <w:tcPr>
            <w:tcW w:w="2508" w:type="dxa"/>
            <w:tcBorders>
              <w:bottom w:val="single" w:sz="8" w:space="0" w:color="auto"/>
            </w:tcBorders>
            <w:noWrap/>
            <w:vAlign w:val="bottom"/>
          </w:tcPr>
          <w:p w:rsidR="007124F0" w:rsidRPr="00FD4A39" w:rsidRDefault="007124F0" w:rsidP="007124F0">
            <w:pPr>
              <w:rPr>
                <w:rFonts w:cs="Arial"/>
                <w:sz w:val="22"/>
                <w:szCs w:val="22"/>
              </w:rPr>
            </w:pPr>
          </w:p>
        </w:tc>
        <w:tc>
          <w:tcPr>
            <w:tcW w:w="1207"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151"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151"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236" w:type="dxa"/>
            <w:tcBorders>
              <w:bottom w:val="single" w:sz="8" w:space="0" w:color="auto"/>
            </w:tcBorders>
          </w:tcPr>
          <w:p w:rsidR="007124F0" w:rsidRPr="00FD4A39" w:rsidRDefault="007124F0" w:rsidP="007124F0">
            <w:pPr>
              <w:jc w:val="center"/>
              <w:rPr>
                <w:rFonts w:cs="Arial"/>
                <w:sz w:val="22"/>
                <w:szCs w:val="22"/>
              </w:rPr>
            </w:pPr>
          </w:p>
        </w:tc>
        <w:tc>
          <w:tcPr>
            <w:tcW w:w="1151"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151" w:type="dxa"/>
            <w:tcBorders>
              <w:bottom w:val="single" w:sz="8" w:space="0" w:color="auto"/>
            </w:tcBorders>
            <w:noWrap/>
            <w:vAlign w:val="bottom"/>
          </w:tcPr>
          <w:p w:rsidR="007124F0" w:rsidRPr="00FD4A39" w:rsidRDefault="007124F0" w:rsidP="007124F0">
            <w:pPr>
              <w:jc w:val="center"/>
              <w:rPr>
                <w:rFonts w:cs="Arial"/>
                <w:sz w:val="22"/>
                <w:szCs w:val="22"/>
              </w:rPr>
            </w:pPr>
          </w:p>
        </w:tc>
        <w:tc>
          <w:tcPr>
            <w:tcW w:w="1261" w:type="dxa"/>
            <w:tcBorders>
              <w:bottom w:val="single" w:sz="8" w:space="0" w:color="auto"/>
            </w:tcBorders>
            <w:noWrap/>
            <w:vAlign w:val="bottom"/>
          </w:tcPr>
          <w:p w:rsidR="007124F0" w:rsidRPr="00FD4A39" w:rsidRDefault="007124F0" w:rsidP="007124F0">
            <w:pPr>
              <w:jc w:val="center"/>
              <w:rPr>
                <w:rFonts w:cs="Arial"/>
                <w:sz w:val="22"/>
                <w:szCs w:val="22"/>
              </w:rPr>
            </w:pPr>
          </w:p>
        </w:tc>
      </w:tr>
      <w:tr w:rsidR="007124F0" w:rsidRPr="00FD4A39" w:rsidTr="007B45DF">
        <w:trPr>
          <w:trHeight w:val="264"/>
        </w:trPr>
        <w:tc>
          <w:tcPr>
            <w:tcW w:w="2508" w:type="dxa"/>
            <w:tcBorders>
              <w:top w:val="single" w:sz="8" w:space="0" w:color="auto"/>
            </w:tcBorders>
            <w:noWrap/>
            <w:vAlign w:val="bottom"/>
          </w:tcPr>
          <w:p w:rsidR="007124F0" w:rsidRPr="00FD4A39" w:rsidRDefault="007124F0" w:rsidP="007124F0">
            <w:pPr>
              <w:rPr>
                <w:rFonts w:cs="Arial"/>
                <w:i/>
                <w:sz w:val="22"/>
                <w:szCs w:val="22"/>
              </w:rPr>
            </w:pPr>
            <w:r w:rsidRPr="00FD4A39">
              <w:rPr>
                <w:rFonts w:cs="Arial"/>
                <w:i/>
                <w:sz w:val="22"/>
                <w:szCs w:val="22"/>
              </w:rPr>
              <w:t>Obs.</w:t>
            </w:r>
          </w:p>
        </w:tc>
        <w:tc>
          <w:tcPr>
            <w:tcW w:w="1207"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1151"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1151"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236" w:type="dxa"/>
            <w:tcBorders>
              <w:top w:val="single" w:sz="8" w:space="0" w:color="auto"/>
            </w:tcBorders>
          </w:tcPr>
          <w:p w:rsidR="007124F0" w:rsidRPr="00FD4A39" w:rsidRDefault="007124F0" w:rsidP="007124F0">
            <w:pPr>
              <w:jc w:val="center"/>
              <w:rPr>
                <w:rFonts w:cs="Arial"/>
                <w:sz w:val="22"/>
                <w:szCs w:val="22"/>
              </w:rPr>
            </w:pPr>
          </w:p>
        </w:tc>
        <w:tc>
          <w:tcPr>
            <w:tcW w:w="1151"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1151"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c>
          <w:tcPr>
            <w:tcW w:w="1261" w:type="dxa"/>
            <w:tcBorders>
              <w:top w:val="single" w:sz="8" w:space="0" w:color="auto"/>
            </w:tcBorders>
            <w:noWrap/>
            <w:vAlign w:val="bottom"/>
          </w:tcPr>
          <w:p w:rsidR="007124F0" w:rsidRPr="00FD4A39" w:rsidRDefault="007124F0" w:rsidP="007124F0">
            <w:pPr>
              <w:jc w:val="center"/>
              <w:rPr>
                <w:rFonts w:cs="Arial"/>
                <w:sz w:val="22"/>
                <w:szCs w:val="22"/>
              </w:rPr>
            </w:pPr>
            <w:r w:rsidRPr="00FD4A39">
              <w:rPr>
                <w:rFonts w:cs="Arial"/>
                <w:sz w:val="22"/>
                <w:szCs w:val="22"/>
              </w:rPr>
              <w:t>1,027</w:t>
            </w:r>
          </w:p>
        </w:tc>
      </w:tr>
      <w:tr w:rsidR="0078502E" w:rsidRPr="00FD4A39" w:rsidTr="00582EC7">
        <w:trPr>
          <w:trHeight w:val="264"/>
        </w:trPr>
        <w:tc>
          <w:tcPr>
            <w:tcW w:w="2508" w:type="dxa"/>
            <w:noWrap/>
            <w:vAlign w:val="bottom"/>
          </w:tcPr>
          <w:p w:rsidR="00582EC7" w:rsidRPr="00582EC7" w:rsidRDefault="00582EC7" w:rsidP="005D401D">
            <w:pPr>
              <w:rPr>
                <w:rFonts w:cs="Arial"/>
                <w:i/>
                <w:sz w:val="10"/>
                <w:szCs w:val="10"/>
              </w:rPr>
            </w:pPr>
          </w:p>
          <w:p w:rsidR="00582EC7" w:rsidRDefault="0078502E" w:rsidP="005D401D">
            <w:pPr>
              <w:rPr>
                <w:rFonts w:cs="Arial"/>
                <w:sz w:val="22"/>
                <w:szCs w:val="22"/>
              </w:rPr>
            </w:pPr>
            <w:r w:rsidRPr="00FD4A39">
              <w:rPr>
                <w:rFonts w:cs="Arial"/>
                <w:i/>
                <w:sz w:val="22"/>
                <w:szCs w:val="22"/>
              </w:rPr>
              <w:t>F-</w:t>
            </w:r>
            <w:r w:rsidRPr="00FD4A39">
              <w:rPr>
                <w:rFonts w:cs="Arial"/>
                <w:sz w:val="22"/>
                <w:szCs w:val="22"/>
              </w:rPr>
              <w:t>test</w:t>
            </w:r>
            <w:r w:rsidRPr="00FD4A39">
              <w:rPr>
                <w:rFonts w:cs="Arial"/>
                <w:i/>
                <w:sz w:val="22"/>
                <w:szCs w:val="22"/>
              </w:rPr>
              <w:t xml:space="preserve"> </w:t>
            </w:r>
            <w:r w:rsidRPr="00FD4A39">
              <w:rPr>
                <w:rFonts w:cs="Arial"/>
                <w:sz w:val="22"/>
                <w:szCs w:val="22"/>
              </w:rPr>
              <w:t>(H</w:t>
            </w:r>
            <w:r w:rsidRPr="00FD4A39">
              <w:rPr>
                <w:rFonts w:cs="Arial"/>
                <w:sz w:val="22"/>
                <w:szCs w:val="22"/>
                <w:vertAlign w:val="subscript"/>
              </w:rPr>
              <w:t>0</w:t>
            </w:r>
            <w:r>
              <w:rPr>
                <w:rFonts w:cs="Arial"/>
                <w:sz w:val="22"/>
                <w:szCs w:val="22"/>
              </w:rPr>
              <w:t>: Coeff</w:t>
            </w:r>
            <w:r w:rsidRPr="00FD4A39">
              <w:rPr>
                <w:rFonts w:cs="Arial"/>
                <w:sz w:val="22"/>
                <w:szCs w:val="22"/>
              </w:rPr>
              <w:t>s=0)</w:t>
            </w:r>
            <w:r w:rsidR="00582EC7">
              <w:rPr>
                <w:rFonts w:cs="Arial"/>
                <w:sz w:val="22"/>
                <w:szCs w:val="22"/>
              </w:rPr>
              <w:t xml:space="preserve"> </w:t>
            </w:r>
          </w:p>
          <w:p w:rsidR="0078502E" w:rsidRPr="00FD4A39" w:rsidRDefault="00582EC7" w:rsidP="005D401D">
            <w:pPr>
              <w:rPr>
                <w:rFonts w:cs="Arial"/>
                <w:i/>
                <w:sz w:val="22"/>
                <w:szCs w:val="22"/>
              </w:rPr>
            </w:pPr>
            <w:r>
              <w:rPr>
                <w:rFonts w:cs="Arial"/>
                <w:sz w:val="22"/>
                <w:szCs w:val="22"/>
              </w:rPr>
              <w:t>(</w:t>
            </w:r>
            <w:r w:rsidRPr="00DC37B1">
              <w:rPr>
                <w:rFonts w:cs="Arial"/>
                <w:i/>
                <w:sz w:val="22"/>
                <w:szCs w:val="22"/>
              </w:rPr>
              <w:t>P</w:t>
            </w:r>
            <w:r>
              <w:rPr>
                <w:rFonts w:cs="Arial"/>
                <w:sz w:val="22"/>
                <w:szCs w:val="22"/>
              </w:rPr>
              <w:t>-Value)</w:t>
            </w:r>
          </w:p>
        </w:tc>
        <w:tc>
          <w:tcPr>
            <w:tcW w:w="1207" w:type="dxa"/>
            <w:noWrap/>
            <w:vAlign w:val="center"/>
          </w:tcPr>
          <w:p w:rsidR="0078502E" w:rsidRPr="00FD4A39" w:rsidRDefault="00582EC7" w:rsidP="00582EC7">
            <w:pPr>
              <w:jc w:val="center"/>
              <w:rPr>
                <w:rFonts w:cs="Arial"/>
                <w:sz w:val="22"/>
                <w:szCs w:val="22"/>
              </w:rPr>
            </w:pPr>
            <w:r>
              <w:rPr>
                <w:rFonts w:cs="Arial"/>
                <w:sz w:val="22"/>
                <w:szCs w:val="22"/>
              </w:rPr>
              <w:t>0.000</w:t>
            </w:r>
          </w:p>
        </w:tc>
        <w:tc>
          <w:tcPr>
            <w:tcW w:w="1151" w:type="dxa"/>
            <w:noWrap/>
            <w:vAlign w:val="center"/>
          </w:tcPr>
          <w:p w:rsidR="0078502E" w:rsidRPr="00FD4A39" w:rsidRDefault="00582EC7" w:rsidP="00582EC7">
            <w:pPr>
              <w:jc w:val="center"/>
              <w:rPr>
                <w:rFonts w:cs="Arial"/>
                <w:sz w:val="22"/>
                <w:szCs w:val="22"/>
              </w:rPr>
            </w:pPr>
            <w:r>
              <w:rPr>
                <w:rFonts w:cs="Arial"/>
                <w:sz w:val="22"/>
                <w:szCs w:val="22"/>
              </w:rPr>
              <w:t>0</w:t>
            </w:r>
            <w:r w:rsidR="0078502E" w:rsidRPr="00FD4A39">
              <w:rPr>
                <w:rFonts w:cs="Arial"/>
                <w:sz w:val="22"/>
                <w:szCs w:val="22"/>
              </w:rPr>
              <w:t>.</w:t>
            </w:r>
            <w:r>
              <w:rPr>
                <w:rFonts w:cs="Arial"/>
                <w:sz w:val="22"/>
                <w:szCs w:val="22"/>
              </w:rPr>
              <w:t>000</w:t>
            </w:r>
          </w:p>
        </w:tc>
        <w:tc>
          <w:tcPr>
            <w:tcW w:w="1151" w:type="dxa"/>
            <w:noWrap/>
            <w:vAlign w:val="center"/>
          </w:tcPr>
          <w:p w:rsidR="0078502E" w:rsidRPr="00FD4A39" w:rsidRDefault="00582EC7" w:rsidP="00582EC7">
            <w:pPr>
              <w:jc w:val="center"/>
              <w:rPr>
                <w:rFonts w:cs="Arial"/>
                <w:sz w:val="22"/>
                <w:szCs w:val="22"/>
              </w:rPr>
            </w:pPr>
            <w:r>
              <w:rPr>
                <w:rFonts w:cs="Arial"/>
                <w:sz w:val="22"/>
                <w:szCs w:val="22"/>
              </w:rPr>
              <w:t>0</w:t>
            </w:r>
            <w:r w:rsidR="0078502E" w:rsidRPr="00FD4A39">
              <w:rPr>
                <w:rFonts w:cs="Arial"/>
                <w:sz w:val="22"/>
                <w:szCs w:val="22"/>
              </w:rPr>
              <w:t>.</w:t>
            </w:r>
            <w:r>
              <w:rPr>
                <w:rFonts w:cs="Arial"/>
                <w:sz w:val="22"/>
                <w:szCs w:val="22"/>
              </w:rPr>
              <w:t>000</w:t>
            </w:r>
          </w:p>
        </w:tc>
        <w:tc>
          <w:tcPr>
            <w:tcW w:w="236" w:type="dxa"/>
            <w:vAlign w:val="center"/>
          </w:tcPr>
          <w:p w:rsidR="0078502E" w:rsidRPr="00FD4A39" w:rsidRDefault="0078502E" w:rsidP="00582EC7">
            <w:pPr>
              <w:jc w:val="center"/>
              <w:rPr>
                <w:rFonts w:cs="Arial"/>
                <w:sz w:val="22"/>
                <w:szCs w:val="22"/>
              </w:rPr>
            </w:pPr>
          </w:p>
        </w:tc>
        <w:tc>
          <w:tcPr>
            <w:tcW w:w="1151" w:type="dxa"/>
            <w:noWrap/>
            <w:vAlign w:val="center"/>
          </w:tcPr>
          <w:p w:rsidR="0078502E" w:rsidRPr="00FD4A39" w:rsidRDefault="00582EC7" w:rsidP="00582EC7">
            <w:pPr>
              <w:jc w:val="center"/>
              <w:rPr>
                <w:rFonts w:cs="Arial"/>
                <w:sz w:val="22"/>
                <w:szCs w:val="22"/>
              </w:rPr>
            </w:pPr>
            <w:r>
              <w:rPr>
                <w:rFonts w:cs="Arial"/>
                <w:sz w:val="22"/>
                <w:szCs w:val="22"/>
              </w:rPr>
              <w:t>0</w:t>
            </w:r>
            <w:r w:rsidR="0078502E" w:rsidRPr="00FD4A39">
              <w:rPr>
                <w:rFonts w:cs="Arial"/>
                <w:sz w:val="22"/>
                <w:szCs w:val="22"/>
              </w:rPr>
              <w:t>.</w:t>
            </w:r>
            <w:r>
              <w:rPr>
                <w:rFonts w:cs="Arial"/>
                <w:sz w:val="22"/>
                <w:szCs w:val="22"/>
              </w:rPr>
              <w:t>000</w:t>
            </w:r>
          </w:p>
        </w:tc>
        <w:tc>
          <w:tcPr>
            <w:tcW w:w="1151" w:type="dxa"/>
            <w:noWrap/>
            <w:vAlign w:val="center"/>
          </w:tcPr>
          <w:p w:rsidR="0078502E" w:rsidRPr="00FD4A39" w:rsidRDefault="00582EC7" w:rsidP="00582EC7">
            <w:pPr>
              <w:jc w:val="center"/>
              <w:rPr>
                <w:rFonts w:cs="Arial"/>
                <w:sz w:val="22"/>
                <w:szCs w:val="22"/>
              </w:rPr>
            </w:pPr>
            <w:r>
              <w:rPr>
                <w:rFonts w:cs="Arial"/>
                <w:sz w:val="22"/>
                <w:szCs w:val="22"/>
              </w:rPr>
              <w:t>0</w:t>
            </w:r>
            <w:r w:rsidR="0078502E" w:rsidRPr="00FD4A39">
              <w:rPr>
                <w:rFonts w:cs="Arial"/>
                <w:sz w:val="22"/>
                <w:szCs w:val="22"/>
              </w:rPr>
              <w:t>.</w:t>
            </w:r>
            <w:r>
              <w:rPr>
                <w:rFonts w:cs="Arial"/>
                <w:sz w:val="22"/>
                <w:szCs w:val="22"/>
              </w:rPr>
              <w:t>000</w:t>
            </w:r>
          </w:p>
        </w:tc>
        <w:tc>
          <w:tcPr>
            <w:tcW w:w="1261" w:type="dxa"/>
            <w:noWrap/>
            <w:vAlign w:val="center"/>
          </w:tcPr>
          <w:p w:rsidR="0078502E" w:rsidRPr="00FD4A39" w:rsidRDefault="00582EC7" w:rsidP="00582EC7">
            <w:pPr>
              <w:jc w:val="center"/>
              <w:rPr>
                <w:rFonts w:cs="Arial"/>
                <w:sz w:val="22"/>
                <w:szCs w:val="22"/>
              </w:rPr>
            </w:pPr>
            <w:r>
              <w:rPr>
                <w:rFonts w:cs="Arial"/>
                <w:sz w:val="22"/>
                <w:szCs w:val="22"/>
              </w:rPr>
              <w:t>0.000</w:t>
            </w:r>
          </w:p>
        </w:tc>
      </w:tr>
      <w:tr w:rsidR="007124F0" w:rsidRPr="00FD4A39" w:rsidTr="00582EC7">
        <w:trPr>
          <w:trHeight w:val="264"/>
        </w:trPr>
        <w:tc>
          <w:tcPr>
            <w:tcW w:w="2508" w:type="dxa"/>
            <w:noWrap/>
            <w:vAlign w:val="bottom"/>
          </w:tcPr>
          <w:p w:rsidR="00582EC7" w:rsidRPr="00582EC7" w:rsidRDefault="00582EC7" w:rsidP="007124F0">
            <w:pPr>
              <w:rPr>
                <w:rFonts w:cs="Arial"/>
                <w:sz w:val="10"/>
                <w:szCs w:val="10"/>
              </w:rPr>
            </w:pPr>
          </w:p>
          <w:p w:rsidR="0078502E" w:rsidRDefault="007124F0" w:rsidP="007124F0">
            <w:pPr>
              <w:rPr>
                <w:rFonts w:cs="Arial"/>
                <w:sz w:val="22"/>
                <w:szCs w:val="22"/>
              </w:rPr>
            </w:pPr>
            <w:r w:rsidRPr="00FD4A39">
              <w:rPr>
                <w:rFonts w:cs="Arial"/>
                <w:sz w:val="22"/>
                <w:szCs w:val="22"/>
              </w:rPr>
              <w:t xml:space="preserve">Hansen’s </w:t>
            </w:r>
            <w:r w:rsidRPr="00FD4A39">
              <w:rPr>
                <w:rFonts w:cs="Arial"/>
                <w:i/>
                <w:iCs/>
                <w:sz w:val="22"/>
                <w:szCs w:val="22"/>
              </w:rPr>
              <w:t>J</w:t>
            </w:r>
            <w:r w:rsidR="0078502E">
              <w:rPr>
                <w:rFonts w:cs="Arial"/>
                <w:sz w:val="22"/>
                <w:szCs w:val="22"/>
              </w:rPr>
              <w:t>-Statistic</w:t>
            </w:r>
          </w:p>
          <w:p w:rsidR="007124F0" w:rsidRPr="00FD4A39" w:rsidRDefault="0078502E" w:rsidP="007124F0">
            <w:pPr>
              <w:rPr>
                <w:rFonts w:cs="Arial"/>
                <w:i/>
                <w:sz w:val="22"/>
                <w:szCs w:val="22"/>
              </w:rPr>
            </w:pPr>
            <w:r>
              <w:rPr>
                <w:rFonts w:cs="Arial"/>
                <w:sz w:val="22"/>
                <w:szCs w:val="22"/>
              </w:rPr>
              <w:t>(</w:t>
            </w:r>
            <w:r w:rsidR="007124F0" w:rsidRPr="00FD4A39">
              <w:rPr>
                <w:rFonts w:cs="Arial"/>
                <w:i/>
                <w:sz w:val="22"/>
                <w:szCs w:val="22"/>
              </w:rPr>
              <w:t>P</w:t>
            </w:r>
            <w:r w:rsidR="007124F0" w:rsidRPr="00FD4A39">
              <w:rPr>
                <w:rFonts w:cs="Arial"/>
                <w:sz w:val="22"/>
                <w:szCs w:val="22"/>
              </w:rPr>
              <w:t>-Value</w:t>
            </w:r>
            <w:r>
              <w:rPr>
                <w:rFonts w:cs="Arial"/>
                <w:sz w:val="22"/>
                <w:szCs w:val="22"/>
              </w:rPr>
              <w:t>)</w:t>
            </w:r>
          </w:p>
        </w:tc>
        <w:tc>
          <w:tcPr>
            <w:tcW w:w="1207" w:type="dxa"/>
            <w:noWrap/>
            <w:vAlign w:val="center"/>
          </w:tcPr>
          <w:p w:rsidR="007124F0" w:rsidRPr="00FD4A39" w:rsidRDefault="007124F0" w:rsidP="00582EC7">
            <w:pPr>
              <w:jc w:val="center"/>
              <w:rPr>
                <w:rFonts w:cs="Arial"/>
                <w:sz w:val="22"/>
                <w:szCs w:val="22"/>
              </w:rPr>
            </w:pPr>
            <w:r w:rsidRPr="00FD4A39">
              <w:rPr>
                <w:rFonts w:cs="Arial"/>
                <w:sz w:val="22"/>
                <w:szCs w:val="22"/>
              </w:rPr>
              <w:t>0.369</w:t>
            </w:r>
          </w:p>
        </w:tc>
        <w:tc>
          <w:tcPr>
            <w:tcW w:w="1151" w:type="dxa"/>
            <w:noWrap/>
            <w:vAlign w:val="center"/>
          </w:tcPr>
          <w:p w:rsidR="007124F0" w:rsidRPr="00FD4A39" w:rsidRDefault="007124F0" w:rsidP="00582EC7">
            <w:pPr>
              <w:jc w:val="center"/>
              <w:rPr>
                <w:rFonts w:cs="Arial"/>
                <w:sz w:val="22"/>
                <w:szCs w:val="22"/>
              </w:rPr>
            </w:pPr>
            <w:r w:rsidRPr="00FD4A39">
              <w:rPr>
                <w:rFonts w:cs="Arial"/>
                <w:sz w:val="22"/>
                <w:szCs w:val="22"/>
              </w:rPr>
              <w:t>0.319</w:t>
            </w:r>
          </w:p>
        </w:tc>
        <w:tc>
          <w:tcPr>
            <w:tcW w:w="1151" w:type="dxa"/>
            <w:noWrap/>
            <w:vAlign w:val="center"/>
          </w:tcPr>
          <w:p w:rsidR="007124F0" w:rsidRPr="00FD4A39" w:rsidRDefault="007124F0" w:rsidP="00582EC7">
            <w:pPr>
              <w:jc w:val="center"/>
              <w:rPr>
                <w:rFonts w:cs="Arial"/>
                <w:sz w:val="22"/>
                <w:szCs w:val="22"/>
              </w:rPr>
            </w:pPr>
            <w:r w:rsidRPr="00FD4A39">
              <w:rPr>
                <w:rFonts w:cs="Arial"/>
                <w:sz w:val="22"/>
                <w:szCs w:val="22"/>
              </w:rPr>
              <w:t>0.346</w:t>
            </w:r>
          </w:p>
        </w:tc>
        <w:tc>
          <w:tcPr>
            <w:tcW w:w="236" w:type="dxa"/>
            <w:vAlign w:val="center"/>
          </w:tcPr>
          <w:p w:rsidR="007124F0" w:rsidRPr="00FD4A39" w:rsidRDefault="007124F0" w:rsidP="00582EC7">
            <w:pPr>
              <w:jc w:val="center"/>
              <w:rPr>
                <w:rFonts w:cs="Arial"/>
                <w:sz w:val="22"/>
                <w:szCs w:val="22"/>
              </w:rPr>
            </w:pPr>
          </w:p>
        </w:tc>
        <w:tc>
          <w:tcPr>
            <w:tcW w:w="1151" w:type="dxa"/>
            <w:noWrap/>
            <w:vAlign w:val="center"/>
          </w:tcPr>
          <w:p w:rsidR="007124F0" w:rsidRPr="00FD4A39" w:rsidRDefault="007124F0" w:rsidP="00582EC7">
            <w:pPr>
              <w:jc w:val="center"/>
              <w:rPr>
                <w:rFonts w:cs="Arial"/>
                <w:sz w:val="22"/>
                <w:szCs w:val="22"/>
              </w:rPr>
            </w:pPr>
            <w:r w:rsidRPr="00FD4A39">
              <w:rPr>
                <w:rFonts w:cs="Arial"/>
                <w:sz w:val="22"/>
                <w:szCs w:val="22"/>
              </w:rPr>
              <w:t>0.487</w:t>
            </w:r>
          </w:p>
        </w:tc>
        <w:tc>
          <w:tcPr>
            <w:tcW w:w="1151" w:type="dxa"/>
            <w:noWrap/>
            <w:vAlign w:val="center"/>
          </w:tcPr>
          <w:p w:rsidR="007124F0" w:rsidRPr="00FD4A39" w:rsidRDefault="007124F0" w:rsidP="00582EC7">
            <w:pPr>
              <w:jc w:val="center"/>
              <w:rPr>
                <w:rFonts w:cs="Arial"/>
                <w:sz w:val="22"/>
                <w:szCs w:val="22"/>
              </w:rPr>
            </w:pPr>
            <w:r w:rsidRPr="00FD4A39">
              <w:rPr>
                <w:rFonts w:cs="Arial"/>
                <w:sz w:val="22"/>
                <w:szCs w:val="22"/>
              </w:rPr>
              <w:t>0.503</w:t>
            </w:r>
          </w:p>
        </w:tc>
        <w:tc>
          <w:tcPr>
            <w:tcW w:w="1261" w:type="dxa"/>
            <w:noWrap/>
            <w:vAlign w:val="center"/>
          </w:tcPr>
          <w:p w:rsidR="007124F0" w:rsidRPr="00FD4A39" w:rsidRDefault="007124F0" w:rsidP="00582EC7">
            <w:pPr>
              <w:jc w:val="center"/>
              <w:rPr>
                <w:rFonts w:cs="Arial"/>
                <w:sz w:val="22"/>
                <w:szCs w:val="22"/>
              </w:rPr>
            </w:pPr>
            <w:r w:rsidRPr="00FD4A39">
              <w:rPr>
                <w:rFonts w:cs="Arial"/>
                <w:sz w:val="22"/>
                <w:szCs w:val="22"/>
              </w:rPr>
              <w:t>0.170</w:t>
            </w:r>
          </w:p>
        </w:tc>
      </w:tr>
      <w:tr w:rsidR="007B45DF" w:rsidRPr="00FD4A39" w:rsidTr="007B45DF">
        <w:trPr>
          <w:trHeight w:val="264"/>
        </w:trPr>
        <w:tc>
          <w:tcPr>
            <w:tcW w:w="2508" w:type="dxa"/>
            <w:tcBorders>
              <w:bottom w:val="double" w:sz="4" w:space="0" w:color="auto"/>
            </w:tcBorders>
            <w:noWrap/>
            <w:vAlign w:val="bottom"/>
          </w:tcPr>
          <w:p w:rsidR="00582EC7" w:rsidRPr="00582EC7" w:rsidRDefault="00582EC7" w:rsidP="005D401D">
            <w:pPr>
              <w:rPr>
                <w:rFonts w:cs="Arial"/>
                <w:i/>
                <w:sz w:val="10"/>
                <w:szCs w:val="10"/>
              </w:rPr>
            </w:pPr>
          </w:p>
          <w:p w:rsidR="007B45DF" w:rsidRPr="007B45DF" w:rsidRDefault="007B45DF" w:rsidP="005D401D">
            <w:pPr>
              <w:rPr>
                <w:rFonts w:cs="Arial"/>
                <w:sz w:val="22"/>
                <w:szCs w:val="22"/>
              </w:rPr>
            </w:pPr>
            <w:r w:rsidRPr="00FD4A39">
              <w:rPr>
                <w:rFonts w:cs="Arial"/>
                <w:i/>
                <w:sz w:val="22"/>
                <w:szCs w:val="22"/>
              </w:rPr>
              <w:t>F-</w:t>
            </w:r>
            <w:r w:rsidRPr="00FD4A39">
              <w:rPr>
                <w:rFonts w:cs="Arial"/>
                <w:sz w:val="22"/>
                <w:szCs w:val="22"/>
              </w:rPr>
              <w:t>test</w:t>
            </w:r>
            <w:r w:rsidRPr="00FD4A39">
              <w:rPr>
                <w:rFonts w:cs="Arial"/>
                <w:i/>
                <w:sz w:val="22"/>
                <w:szCs w:val="22"/>
              </w:rPr>
              <w:t xml:space="preserve"> </w:t>
            </w:r>
            <w:r w:rsidRPr="00FD4A39">
              <w:rPr>
                <w:rFonts w:cs="Arial"/>
                <w:sz w:val="22"/>
                <w:szCs w:val="22"/>
              </w:rPr>
              <w:t>(H</w:t>
            </w:r>
            <w:r w:rsidRPr="00FD4A39">
              <w:rPr>
                <w:rFonts w:cs="Arial"/>
                <w:sz w:val="22"/>
                <w:szCs w:val="22"/>
                <w:vertAlign w:val="subscript"/>
              </w:rPr>
              <w:t>0</w:t>
            </w:r>
            <w:r>
              <w:rPr>
                <w:rFonts w:cs="Arial"/>
                <w:sz w:val="22"/>
                <w:szCs w:val="22"/>
              </w:rPr>
              <w:t>: Excluded Instruments</w:t>
            </w:r>
            <w:r w:rsidRPr="00FD4A39">
              <w:rPr>
                <w:rFonts w:cs="Arial"/>
                <w:sz w:val="22"/>
                <w:szCs w:val="22"/>
              </w:rPr>
              <w:t>=0)</w:t>
            </w:r>
            <w:r>
              <w:rPr>
                <w:rFonts w:cs="Arial"/>
                <w:sz w:val="22"/>
                <w:szCs w:val="22"/>
              </w:rPr>
              <w:t xml:space="preserve"> (</w:t>
            </w:r>
            <w:r w:rsidRPr="00DC37B1">
              <w:rPr>
                <w:rFonts w:cs="Arial"/>
                <w:i/>
                <w:sz w:val="22"/>
                <w:szCs w:val="22"/>
              </w:rPr>
              <w:t>P</w:t>
            </w:r>
            <w:r>
              <w:rPr>
                <w:rFonts w:cs="Arial"/>
                <w:sz w:val="22"/>
                <w:szCs w:val="22"/>
              </w:rPr>
              <w:t>-Value)</w:t>
            </w:r>
          </w:p>
        </w:tc>
        <w:tc>
          <w:tcPr>
            <w:tcW w:w="1207" w:type="dxa"/>
            <w:tcBorders>
              <w:bottom w:val="double" w:sz="4" w:space="0" w:color="auto"/>
            </w:tcBorders>
            <w:noWrap/>
            <w:vAlign w:val="bottom"/>
          </w:tcPr>
          <w:p w:rsidR="007B45DF" w:rsidRDefault="007B45DF" w:rsidP="0078502E">
            <w:pPr>
              <w:jc w:val="center"/>
              <w:rPr>
                <w:rFonts w:cs="Arial"/>
                <w:sz w:val="22"/>
                <w:szCs w:val="22"/>
              </w:rPr>
            </w:pPr>
            <w:r w:rsidRPr="00FD4A39">
              <w:rPr>
                <w:rFonts w:cs="Arial"/>
                <w:sz w:val="22"/>
                <w:szCs w:val="22"/>
              </w:rPr>
              <w:t>0.</w:t>
            </w:r>
            <w:r>
              <w:rPr>
                <w:rFonts w:cs="Arial"/>
                <w:sz w:val="22"/>
                <w:szCs w:val="22"/>
              </w:rPr>
              <w:t>000</w:t>
            </w:r>
          </w:p>
          <w:p w:rsidR="007B45DF" w:rsidRPr="00FD4A39" w:rsidRDefault="007B45DF" w:rsidP="0078502E">
            <w:pPr>
              <w:jc w:val="center"/>
              <w:rPr>
                <w:rFonts w:cs="Arial"/>
                <w:sz w:val="22"/>
                <w:szCs w:val="22"/>
              </w:rPr>
            </w:pPr>
          </w:p>
        </w:tc>
        <w:tc>
          <w:tcPr>
            <w:tcW w:w="1151" w:type="dxa"/>
            <w:tcBorders>
              <w:bottom w:val="double" w:sz="4" w:space="0" w:color="auto"/>
            </w:tcBorders>
            <w:noWrap/>
            <w:vAlign w:val="bottom"/>
          </w:tcPr>
          <w:p w:rsidR="007B45DF" w:rsidRDefault="007B45DF" w:rsidP="005D401D">
            <w:pPr>
              <w:jc w:val="center"/>
              <w:rPr>
                <w:rFonts w:cs="Arial"/>
                <w:sz w:val="22"/>
                <w:szCs w:val="22"/>
              </w:rPr>
            </w:pPr>
            <w:r w:rsidRPr="00FD4A39">
              <w:rPr>
                <w:rFonts w:cs="Arial"/>
                <w:sz w:val="22"/>
                <w:szCs w:val="22"/>
              </w:rPr>
              <w:t>0.</w:t>
            </w:r>
            <w:r>
              <w:rPr>
                <w:rFonts w:cs="Arial"/>
                <w:sz w:val="22"/>
                <w:szCs w:val="22"/>
              </w:rPr>
              <w:t>0</w:t>
            </w:r>
            <w:r w:rsidR="00582EC7">
              <w:rPr>
                <w:rFonts w:cs="Arial"/>
                <w:sz w:val="22"/>
                <w:szCs w:val="22"/>
              </w:rPr>
              <w:t>00</w:t>
            </w:r>
          </w:p>
          <w:p w:rsidR="007B45DF" w:rsidRPr="00FD4A39" w:rsidRDefault="007B45DF" w:rsidP="005D401D">
            <w:pPr>
              <w:jc w:val="center"/>
              <w:rPr>
                <w:rFonts w:cs="Arial"/>
                <w:sz w:val="22"/>
                <w:szCs w:val="22"/>
              </w:rPr>
            </w:pPr>
          </w:p>
        </w:tc>
        <w:tc>
          <w:tcPr>
            <w:tcW w:w="1151" w:type="dxa"/>
            <w:tcBorders>
              <w:bottom w:val="double" w:sz="4" w:space="0" w:color="auto"/>
            </w:tcBorders>
            <w:noWrap/>
            <w:vAlign w:val="bottom"/>
          </w:tcPr>
          <w:p w:rsidR="007B45DF" w:rsidRDefault="007B45DF" w:rsidP="005D401D">
            <w:pPr>
              <w:jc w:val="center"/>
              <w:rPr>
                <w:rFonts w:cs="Arial"/>
                <w:sz w:val="22"/>
                <w:szCs w:val="22"/>
              </w:rPr>
            </w:pPr>
            <w:r w:rsidRPr="00FD4A39">
              <w:rPr>
                <w:rFonts w:cs="Arial"/>
                <w:sz w:val="22"/>
                <w:szCs w:val="22"/>
              </w:rPr>
              <w:t>0.</w:t>
            </w:r>
            <w:r>
              <w:rPr>
                <w:rFonts w:cs="Arial"/>
                <w:sz w:val="22"/>
                <w:szCs w:val="22"/>
              </w:rPr>
              <w:t>000</w:t>
            </w:r>
          </w:p>
          <w:p w:rsidR="007B45DF" w:rsidRPr="00FD4A39" w:rsidRDefault="007B45DF" w:rsidP="005D401D">
            <w:pPr>
              <w:jc w:val="center"/>
              <w:rPr>
                <w:rFonts w:cs="Arial"/>
                <w:sz w:val="22"/>
                <w:szCs w:val="22"/>
              </w:rPr>
            </w:pPr>
          </w:p>
        </w:tc>
        <w:tc>
          <w:tcPr>
            <w:tcW w:w="236" w:type="dxa"/>
            <w:tcBorders>
              <w:bottom w:val="double" w:sz="4" w:space="0" w:color="auto"/>
            </w:tcBorders>
            <w:vAlign w:val="bottom"/>
          </w:tcPr>
          <w:p w:rsidR="007B45DF" w:rsidRPr="00FD4A39" w:rsidRDefault="007B45DF" w:rsidP="0078502E">
            <w:pPr>
              <w:jc w:val="center"/>
              <w:rPr>
                <w:rFonts w:cs="Arial"/>
                <w:sz w:val="22"/>
                <w:szCs w:val="22"/>
              </w:rPr>
            </w:pPr>
          </w:p>
        </w:tc>
        <w:tc>
          <w:tcPr>
            <w:tcW w:w="1151" w:type="dxa"/>
            <w:tcBorders>
              <w:bottom w:val="double" w:sz="4" w:space="0" w:color="auto"/>
            </w:tcBorders>
            <w:noWrap/>
            <w:vAlign w:val="bottom"/>
          </w:tcPr>
          <w:p w:rsidR="007B45DF" w:rsidRDefault="007B45DF" w:rsidP="005D401D">
            <w:pPr>
              <w:jc w:val="center"/>
              <w:rPr>
                <w:rFonts w:cs="Arial"/>
                <w:sz w:val="22"/>
                <w:szCs w:val="22"/>
              </w:rPr>
            </w:pPr>
            <w:r w:rsidRPr="00FD4A39">
              <w:rPr>
                <w:rFonts w:cs="Arial"/>
                <w:sz w:val="22"/>
                <w:szCs w:val="22"/>
              </w:rPr>
              <w:t>0.</w:t>
            </w:r>
            <w:r>
              <w:rPr>
                <w:rFonts w:cs="Arial"/>
                <w:sz w:val="22"/>
                <w:szCs w:val="22"/>
              </w:rPr>
              <w:t>0</w:t>
            </w:r>
            <w:r w:rsidR="00582EC7">
              <w:rPr>
                <w:rFonts w:cs="Arial"/>
                <w:sz w:val="22"/>
                <w:szCs w:val="22"/>
              </w:rPr>
              <w:t>00</w:t>
            </w:r>
          </w:p>
          <w:p w:rsidR="007B45DF" w:rsidRPr="00FD4A39" w:rsidRDefault="007B45DF" w:rsidP="005D401D">
            <w:pPr>
              <w:jc w:val="center"/>
              <w:rPr>
                <w:rFonts w:cs="Arial"/>
                <w:sz w:val="22"/>
                <w:szCs w:val="22"/>
              </w:rPr>
            </w:pPr>
          </w:p>
        </w:tc>
        <w:tc>
          <w:tcPr>
            <w:tcW w:w="1151" w:type="dxa"/>
            <w:tcBorders>
              <w:bottom w:val="double" w:sz="4" w:space="0" w:color="auto"/>
            </w:tcBorders>
            <w:noWrap/>
            <w:vAlign w:val="bottom"/>
          </w:tcPr>
          <w:p w:rsidR="007B45DF" w:rsidRDefault="007B45DF" w:rsidP="005D401D">
            <w:pPr>
              <w:jc w:val="center"/>
              <w:rPr>
                <w:rFonts w:cs="Arial"/>
                <w:sz w:val="22"/>
                <w:szCs w:val="22"/>
              </w:rPr>
            </w:pPr>
            <w:r w:rsidRPr="00FD4A39">
              <w:rPr>
                <w:rFonts w:cs="Arial"/>
                <w:sz w:val="22"/>
                <w:szCs w:val="22"/>
              </w:rPr>
              <w:t>0.</w:t>
            </w:r>
            <w:r>
              <w:rPr>
                <w:rFonts w:cs="Arial"/>
                <w:sz w:val="22"/>
                <w:szCs w:val="22"/>
              </w:rPr>
              <w:t>0</w:t>
            </w:r>
            <w:r w:rsidR="00582EC7">
              <w:rPr>
                <w:rFonts w:cs="Arial"/>
                <w:sz w:val="22"/>
                <w:szCs w:val="22"/>
              </w:rPr>
              <w:t>00</w:t>
            </w:r>
          </w:p>
          <w:p w:rsidR="007B45DF" w:rsidRPr="00FD4A39" w:rsidRDefault="007B45DF" w:rsidP="005D401D">
            <w:pPr>
              <w:jc w:val="center"/>
              <w:rPr>
                <w:rFonts w:cs="Arial"/>
                <w:sz w:val="22"/>
                <w:szCs w:val="22"/>
              </w:rPr>
            </w:pPr>
          </w:p>
        </w:tc>
        <w:tc>
          <w:tcPr>
            <w:tcW w:w="1261" w:type="dxa"/>
            <w:tcBorders>
              <w:bottom w:val="double" w:sz="4" w:space="0" w:color="auto"/>
            </w:tcBorders>
            <w:noWrap/>
            <w:vAlign w:val="bottom"/>
          </w:tcPr>
          <w:p w:rsidR="007B45DF" w:rsidRDefault="007B45DF" w:rsidP="005D401D">
            <w:pPr>
              <w:jc w:val="center"/>
              <w:rPr>
                <w:rFonts w:cs="Arial"/>
                <w:sz w:val="22"/>
                <w:szCs w:val="22"/>
              </w:rPr>
            </w:pPr>
            <w:r w:rsidRPr="00FD4A39">
              <w:rPr>
                <w:rFonts w:cs="Arial"/>
                <w:sz w:val="22"/>
                <w:szCs w:val="22"/>
              </w:rPr>
              <w:t>0.</w:t>
            </w:r>
            <w:r>
              <w:rPr>
                <w:rFonts w:cs="Arial"/>
                <w:sz w:val="22"/>
                <w:szCs w:val="22"/>
              </w:rPr>
              <w:t>0</w:t>
            </w:r>
            <w:r w:rsidR="00582EC7">
              <w:rPr>
                <w:rFonts w:cs="Arial"/>
                <w:sz w:val="22"/>
                <w:szCs w:val="22"/>
              </w:rPr>
              <w:t>00</w:t>
            </w:r>
          </w:p>
          <w:p w:rsidR="007B45DF" w:rsidRPr="00FD4A39" w:rsidRDefault="007B45DF" w:rsidP="005D401D">
            <w:pPr>
              <w:jc w:val="center"/>
              <w:rPr>
                <w:rFonts w:cs="Arial"/>
                <w:sz w:val="22"/>
                <w:szCs w:val="22"/>
              </w:rPr>
            </w:pPr>
          </w:p>
        </w:tc>
      </w:tr>
    </w:tbl>
    <w:p w:rsidR="007124F0" w:rsidRPr="0078502E" w:rsidRDefault="007124F0" w:rsidP="007124F0">
      <w:pPr>
        <w:jc w:val="both"/>
        <w:rPr>
          <w:sz w:val="18"/>
          <w:szCs w:val="18"/>
        </w:rPr>
      </w:pPr>
      <w:r w:rsidRPr="0078502E">
        <w:rPr>
          <w:sz w:val="18"/>
          <w:szCs w:val="18"/>
        </w:rPr>
        <w:t xml:space="preserve">Note: ***, ** and * indicate statistical significance at the 1%, 5% and 10% (two-tail) test levels, respectively. </w:t>
      </w:r>
    </w:p>
    <w:p w:rsidR="007124F0" w:rsidRDefault="007124F0" w:rsidP="007124F0">
      <w:pPr>
        <w:spacing w:line="480" w:lineRule="auto"/>
        <w:rPr>
          <w:sz w:val="22"/>
          <w:szCs w:val="22"/>
        </w:rPr>
      </w:pPr>
    </w:p>
    <w:p w:rsidR="007124F0" w:rsidRPr="00782D51" w:rsidRDefault="007124F0" w:rsidP="007124F0">
      <w:r>
        <w:br w:type="page"/>
      </w:r>
      <w:r w:rsidRPr="00782D51">
        <w:lastRenderedPageBreak/>
        <w:t xml:space="preserve">Table </w:t>
      </w:r>
      <w:r>
        <w:t>14</w:t>
      </w:r>
      <w:r w:rsidRPr="00782D51">
        <w:t xml:space="preserve"> – </w:t>
      </w:r>
      <w:r>
        <w:t>Allocation of Operating Income to Debt Service and Dividend Payout</w:t>
      </w:r>
    </w:p>
    <w:p w:rsidR="007124F0" w:rsidRDefault="007124F0" w:rsidP="007124F0"/>
    <w:p w:rsidR="007124F0" w:rsidRPr="00A66642" w:rsidRDefault="007124F0" w:rsidP="007124F0">
      <w:pPr>
        <w:jc w:val="both"/>
        <w:rPr>
          <w:sz w:val="22"/>
          <w:szCs w:val="22"/>
        </w:rPr>
      </w:pPr>
      <w:r w:rsidRPr="00B25705">
        <w:rPr>
          <w:sz w:val="22"/>
          <w:szCs w:val="22"/>
        </w:rPr>
        <w:t xml:space="preserve">This table reports average </w:t>
      </w:r>
      <w:r>
        <w:rPr>
          <w:sz w:val="22"/>
          <w:szCs w:val="22"/>
        </w:rPr>
        <w:t xml:space="preserve">operating income allocated to debt service and dividend payout by </w:t>
      </w:r>
      <w:r w:rsidRPr="00B25705">
        <w:rPr>
          <w:sz w:val="22"/>
          <w:szCs w:val="22"/>
        </w:rPr>
        <w:t xml:space="preserve">secured </w:t>
      </w:r>
      <w:r>
        <w:rPr>
          <w:sz w:val="22"/>
          <w:szCs w:val="22"/>
        </w:rPr>
        <w:t xml:space="preserve">market leverage. </w:t>
      </w:r>
      <w:r w:rsidRPr="00A66642">
        <w:rPr>
          <w:sz w:val="22"/>
          <w:szCs w:val="22"/>
        </w:rPr>
        <w:t xml:space="preserve">All firm level data are from SNL Datasource over the sample period 1991-2007. The sample includes residential, retail, office, and industrial REITs. </w:t>
      </w:r>
      <w:r w:rsidRPr="00F02477">
        <w:rPr>
          <w:sz w:val="22"/>
          <w:szCs w:val="22"/>
        </w:rPr>
        <w:t xml:space="preserve">“Above Median Group” includes firms with </w:t>
      </w:r>
      <w:r w:rsidRPr="00F02477">
        <w:rPr>
          <w:i/>
          <w:sz w:val="22"/>
          <w:szCs w:val="22"/>
        </w:rPr>
        <w:t>SecuredMarketLeverage</w:t>
      </w:r>
      <w:r w:rsidRPr="00F02477">
        <w:rPr>
          <w:sz w:val="22"/>
          <w:szCs w:val="22"/>
        </w:rPr>
        <w:t xml:space="preserve"> above </w:t>
      </w:r>
      <w:r>
        <w:rPr>
          <w:sz w:val="22"/>
          <w:szCs w:val="22"/>
        </w:rPr>
        <w:t>the</w:t>
      </w:r>
      <w:r w:rsidRPr="00F02477">
        <w:rPr>
          <w:sz w:val="22"/>
          <w:szCs w:val="22"/>
        </w:rPr>
        <w:t xml:space="preserve"> </w:t>
      </w:r>
      <w:r>
        <w:rPr>
          <w:sz w:val="22"/>
          <w:szCs w:val="22"/>
        </w:rPr>
        <w:t>sample median</w:t>
      </w:r>
      <w:r w:rsidRPr="00F02477">
        <w:rPr>
          <w:sz w:val="22"/>
          <w:szCs w:val="22"/>
        </w:rPr>
        <w:t xml:space="preserve">. “Below Median Group” includes firms with </w:t>
      </w:r>
      <w:r w:rsidRPr="00F02477">
        <w:rPr>
          <w:i/>
          <w:sz w:val="22"/>
          <w:szCs w:val="22"/>
        </w:rPr>
        <w:t>SecuredMarketLeverage</w:t>
      </w:r>
      <w:r>
        <w:rPr>
          <w:i/>
          <w:sz w:val="22"/>
          <w:szCs w:val="22"/>
        </w:rPr>
        <w:t xml:space="preserve"> </w:t>
      </w:r>
      <w:r w:rsidRPr="00A66642">
        <w:rPr>
          <w:sz w:val="22"/>
          <w:szCs w:val="22"/>
        </w:rPr>
        <w:t>below the sample median</w:t>
      </w:r>
      <w:r w:rsidRPr="00F02477">
        <w:rPr>
          <w:sz w:val="22"/>
          <w:szCs w:val="22"/>
        </w:rPr>
        <w:t xml:space="preserve">. </w:t>
      </w:r>
      <w:r w:rsidRPr="00A66642">
        <w:rPr>
          <w:rFonts w:cs="Arial"/>
          <w:sz w:val="22"/>
          <w:szCs w:val="22"/>
        </w:rPr>
        <w:t>EBITDA / Total Assets</w:t>
      </w:r>
      <w:r w:rsidRPr="00A66642">
        <w:rPr>
          <w:sz w:val="22"/>
          <w:szCs w:val="22"/>
        </w:rPr>
        <w:t xml:space="preserve"> is the ratio of the sum of funds from operations plus interest expenses (SNL item #6116 + #l7271) to book value of total assets (item #220). </w:t>
      </w:r>
      <w:r w:rsidRPr="00A66642">
        <w:rPr>
          <w:rFonts w:cs="dcr10"/>
          <w:sz w:val="22"/>
          <w:szCs w:val="22"/>
        </w:rPr>
        <w:t xml:space="preserve">Interest Expense / Total Assetsis the ratio of interest expenses to book value of total assets. EBITDA / Interest Expense is the ratio of funds from operations to interest expenses. </w:t>
      </w:r>
      <w:r w:rsidRPr="00A66642">
        <w:rPr>
          <w:rFonts w:cs="Arial"/>
          <w:sz w:val="22"/>
          <w:szCs w:val="22"/>
        </w:rPr>
        <w:t>Pre-Dividend CF / Total Assets is the ratio of funds from operations to book value of total assets. Dividends / Total Assets is the ratio of dividends on common stocks (item #14126) to book value of total assets. Dividends / Pre-Dividend CF is the ratio of dividends on common stocks to funds from operations. Post-Dividend CF / Total Assets is the ratio of the difference between funds from operations minus dividends on common stocks to the book value of total assets.</w:t>
      </w:r>
    </w:p>
    <w:p w:rsidR="007124F0" w:rsidRPr="00896F13" w:rsidRDefault="007124F0" w:rsidP="007124F0">
      <w:pPr>
        <w:jc w:val="both"/>
        <w:rPr>
          <w:i/>
          <w:sz w:val="22"/>
          <w:szCs w:val="22"/>
        </w:rPr>
      </w:pPr>
      <w:r>
        <w:tab/>
      </w:r>
      <w:r>
        <w:tab/>
      </w:r>
      <w:r>
        <w:tab/>
      </w:r>
      <w:r>
        <w:tab/>
      </w:r>
      <w:r>
        <w:tab/>
      </w:r>
      <w:r>
        <w:tab/>
      </w:r>
    </w:p>
    <w:tbl>
      <w:tblPr>
        <w:tblW w:w="9468" w:type="dxa"/>
        <w:tblLook w:val="0000"/>
      </w:tblPr>
      <w:tblGrid>
        <w:gridCol w:w="3120"/>
        <w:gridCol w:w="2040"/>
        <w:gridCol w:w="2160"/>
        <w:gridCol w:w="2148"/>
      </w:tblGrid>
      <w:tr w:rsidR="007124F0" w:rsidRPr="00A66642" w:rsidTr="007124F0">
        <w:trPr>
          <w:trHeight w:val="264"/>
        </w:trPr>
        <w:tc>
          <w:tcPr>
            <w:tcW w:w="3120" w:type="dxa"/>
            <w:tcBorders>
              <w:top w:val="double" w:sz="4" w:space="0" w:color="auto"/>
              <w:bottom w:val="single" w:sz="4" w:space="0" w:color="auto"/>
            </w:tcBorders>
            <w:noWrap/>
            <w:vAlign w:val="bottom"/>
          </w:tcPr>
          <w:p w:rsidR="007124F0" w:rsidRPr="00A66642" w:rsidRDefault="007124F0" w:rsidP="007124F0">
            <w:pPr>
              <w:rPr>
                <w:sz w:val="20"/>
                <w:szCs w:val="20"/>
              </w:rPr>
            </w:pPr>
          </w:p>
          <w:p w:rsidR="007124F0" w:rsidRPr="00A66642" w:rsidRDefault="007124F0" w:rsidP="007124F0">
            <w:pPr>
              <w:rPr>
                <w:sz w:val="20"/>
                <w:szCs w:val="20"/>
              </w:rPr>
            </w:pPr>
          </w:p>
        </w:tc>
        <w:tc>
          <w:tcPr>
            <w:tcW w:w="2040" w:type="dxa"/>
            <w:tcBorders>
              <w:top w:val="double" w:sz="4" w:space="0" w:color="auto"/>
              <w:bottom w:val="single" w:sz="4" w:space="0" w:color="auto"/>
            </w:tcBorders>
            <w:noWrap/>
            <w:vAlign w:val="bottom"/>
          </w:tcPr>
          <w:p w:rsidR="007124F0" w:rsidRPr="00A66642" w:rsidRDefault="007124F0" w:rsidP="007124F0">
            <w:pPr>
              <w:jc w:val="center"/>
              <w:rPr>
                <w:sz w:val="20"/>
                <w:szCs w:val="20"/>
              </w:rPr>
            </w:pPr>
            <w:r w:rsidRPr="00A66642">
              <w:rPr>
                <w:sz w:val="20"/>
                <w:szCs w:val="20"/>
              </w:rPr>
              <w:t>Above Median Group</w:t>
            </w:r>
          </w:p>
          <w:p w:rsidR="007124F0" w:rsidRPr="00A66642" w:rsidRDefault="007124F0" w:rsidP="007124F0">
            <w:pPr>
              <w:jc w:val="center"/>
              <w:rPr>
                <w:sz w:val="20"/>
                <w:szCs w:val="20"/>
              </w:rPr>
            </w:pPr>
          </w:p>
        </w:tc>
        <w:tc>
          <w:tcPr>
            <w:tcW w:w="2160" w:type="dxa"/>
            <w:tcBorders>
              <w:top w:val="double" w:sz="4" w:space="0" w:color="auto"/>
              <w:bottom w:val="single" w:sz="4" w:space="0" w:color="auto"/>
            </w:tcBorders>
            <w:noWrap/>
            <w:vAlign w:val="bottom"/>
          </w:tcPr>
          <w:p w:rsidR="007124F0" w:rsidRPr="00A66642" w:rsidRDefault="007124F0" w:rsidP="007124F0">
            <w:pPr>
              <w:jc w:val="center"/>
              <w:rPr>
                <w:sz w:val="20"/>
                <w:szCs w:val="20"/>
              </w:rPr>
            </w:pPr>
            <w:r w:rsidRPr="00A66642">
              <w:rPr>
                <w:sz w:val="20"/>
                <w:szCs w:val="20"/>
              </w:rPr>
              <w:t>Below Median Group</w:t>
            </w:r>
          </w:p>
          <w:p w:rsidR="007124F0" w:rsidRPr="00A66642" w:rsidRDefault="007124F0" w:rsidP="007124F0">
            <w:pPr>
              <w:jc w:val="center"/>
              <w:rPr>
                <w:sz w:val="20"/>
                <w:szCs w:val="20"/>
              </w:rPr>
            </w:pPr>
          </w:p>
        </w:tc>
        <w:tc>
          <w:tcPr>
            <w:tcW w:w="2148" w:type="dxa"/>
            <w:tcBorders>
              <w:top w:val="double" w:sz="4" w:space="0" w:color="auto"/>
              <w:bottom w:val="single" w:sz="4" w:space="0" w:color="auto"/>
            </w:tcBorders>
          </w:tcPr>
          <w:p w:rsidR="007124F0" w:rsidRPr="00A66642" w:rsidRDefault="007124F0" w:rsidP="007124F0">
            <w:pPr>
              <w:jc w:val="center"/>
              <w:rPr>
                <w:sz w:val="20"/>
                <w:szCs w:val="20"/>
              </w:rPr>
            </w:pPr>
          </w:p>
          <w:p w:rsidR="007124F0" w:rsidRPr="00A66642" w:rsidRDefault="007124F0" w:rsidP="007124F0">
            <w:pPr>
              <w:jc w:val="center"/>
              <w:rPr>
                <w:sz w:val="20"/>
                <w:szCs w:val="20"/>
              </w:rPr>
            </w:pPr>
            <w:r w:rsidRPr="00A66642">
              <w:rPr>
                <w:sz w:val="20"/>
                <w:szCs w:val="20"/>
              </w:rPr>
              <w:t>Difference</w:t>
            </w:r>
          </w:p>
          <w:p w:rsidR="007124F0" w:rsidRPr="00A66642" w:rsidRDefault="007124F0" w:rsidP="007124F0">
            <w:pPr>
              <w:jc w:val="center"/>
              <w:rPr>
                <w:sz w:val="20"/>
                <w:szCs w:val="20"/>
              </w:rPr>
            </w:pPr>
            <w:r w:rsidRPr="00A66642">
              <w:rPr>
                <w:sz w:val="20"/>
                <w:szCs w:val="20"/>
              </w:rPr>
              <w:t>Above – Below Median</w:t>
            </w:r>
          </w:p>
          <w:p w:rsidR="007124F0" w:rsidRPr="00A66642" w:rsidRDefault="007124F0" w:rsidP="007124F0">
            <w:pPr>
              <w:jc w:val="center"/>
              <w:rPr>
                <w:sz w:val="20"/>
                <w:szCs w:val="20"/>
              </w:rPr>
            </w:pPr>
          </w:p>
        </w:tc>
      </w:tr>
      <w:tr w:rsidR="007124F0" w:rsidRPr="00265431" w:rsidTr="007124F0">
        <w:trPr>
          <w:trHeight w:val="264"/>
        </w:trPr>
        <w:tc>
          <w:tcPr>
            <w:tcW w:w="3120" w:type="dxa"/>
            <w:tcBorders>
              <w:top w:val="single" w:sz="4" w:space="0" w:color="auto"/>
            </w:tcBorders>
            <w:noWrap/>
            <w:vAlign w:val="bottom"/>
          </w:tcPr>
          <w:p w:rsidR="007124F0" w:rsidRPr="00265431" w:rsidRDefault="007124F0" w:rsidP="007124F0">
            <w:pPr>
              <w:rPr>
                <w:rFonts w:cs="Arial"/>
                <w:i/>
                <w:sz w:val="20"/>
                <w:szCs w:val="20"/>
              </w:rPr>
            </w:pPr>
          </w:p>
          <w:p w:rsidR="007124F0" w:rsidRPr="00265431" w:rsidRDefault="007124F0" w:rsidP="007124F0">
            <w:pPr>
              <w:rPr>
                <w:rFonts w:cs="Arial"/>
                <w:i/>
                <w:sz w:val="20"/>
                <w:szCs w:val="20"/>
              </w:rPr>
            </w:pPr>
            <w:r w:rsidRPr="00265431">
              <w:rPr>
                <w:rFonts w:cs="Arial"/>
                <w:i/>
                <w:sz w:val="20"/>
                <w:szCs w:val="20"/>
              </w:rPr>
              <w:t xml:space="preserve">  </w:t>
            </w:r>
            <w:r>
              <w:rPr>
                <w:rFonts w:cs="Arial"/>
                <w:i/>
                <w:sz w:val="20"/>
                <w:szCs w:val="20"/>
              </w:rPr>
              <w:t>EBITDA / Total Assets</w:t>
            </w:r>
          </w:p>
        </w:tc>
        <w:tc>
          <w:tcPr>
            <w:tcW w:w="2040" w:type="dxa"/>
            <w:tcBorders>
              <w:top w:val="single" w:sz="4" w:space="0" w:color="auto"/>
            </w:tcBorders>
            <w:noWrap/>
            <w:vAlign w:val="bottom"/>
          </w:tcPr>
          <w:p w:rsidR="007124F0" w:rsidRPr="00265431" w:rsidRDefault="007124F0" w:rsidP="007124F0">
            <w:pPr>
              <w:jc w:val="center"/>
              <w:rPr>
                <w:rFonts w:cs="Arial"/>
                <w:sz w:val="20"/>
                <w:szCs w:val="20"/>
              </w:rPr>
            </w:pPr>
            <w:r>
              <w:rPr>
                <w:rFonts w:cs="Arial"/>
                <w:sz w:val="20"/>
                <w:szCs w:val="20"/>
              </w:rPr>
              <w:t>0.0880</w:t>
            </w:r>
          </w:p>
        </w:tc>
        <w:tc>
          <w:tcPr>
            <w:tcW w:w="2160" w:type="dxa"/>
            <w:tcBorders>
              <w:top w:val="single" w:sz="4" w:space="0" w:color="auto"/>
            </w:tcBorders>
            <w:noWrap/>
            <w:vAlign w:val="bottom"/>
          </w:tcPr>
          <w:p w:rsidR="007124F0" w:rsidRPr="00265431" w:rsidRDefault="007124F0" w:rsidP="007124F0">
            <w:pPr>
              <w:jc w:val="center"/>
              <w:rPr>
                <w:rFonts w:cs="Arial"/>
                <w:sz w:val="20"/>
                <w:szCs w:val="20"/>
              </w:rPr>
            </w:pPr>
            <w:r>
              <w:rPr>
                <w:rFonts w:cs="Arial"/>
                <w:sz w:val="20"/>
                <w:szCs w:val="20"/>
              </w:rPr>
              <w:t>0.0846</w:t>
            </w:r>
          </w:p>
        </w:tc>
        <w:tc>
          <w:tcPr>
            <w:tcW w:w="2148" w:type="dxa"/>
            <w:tcBorders>
              <w:top w:val="single" w:sz="4" w:space="0" w:color="auto"/>
            </w:tcBorders>
          </w:tcPr>
          <w:p w:rsidR="007124F0" w:rsidRDefault="007124F0" w:rsidP="007124F0">
            <w:pPr>
              <w:jc w:val="center"/>
              <w:rPr>
                <w:rFonts w:cs="Arial"/>
                <w:sz w:val="20"/>
                <w:szCs w:val="20"/>
              </w:rPr>
            </w:pPr>
          </w:p>
          <w:p w:rsidR="007124F0" w:rsidRDefault="007124F0" w:rsidP="007124F0">
            <w:pPr>
              <w:rPr>
                <w:rFonts w:cs="Arial"/>
                <w:sz w:val="20"/>
                <w:szCs w:val="20"/>
              </w:rPr>
            </w:pPr>
            <w:r>
              <w:rPr>
                <w:rFonts w:cs="Arial"/>
                <w:sz w:val="20"/>
                <w:szCs w:val="20"/>
              </w:rPr>
              <w:t xml:space="preserve">           0.0034</w:t>
            </w:r>
          </w:p>
        </w:tc>
      </w:tr>
      <w:tr w:rsidR="007124F0" w:rsidRPr="00265431" w:rsidTr="007124F0">
        <w:trPr>
          <w:trHeight w:val="264"/>
        </w:trPr>
        <w:tc>
          <w:tcPr>
            <w:tcW w:w="3120" w:type="dxa"/>
            <w:noWrap/>
            <w:vAlign w:val="bottom"/>
          </w:tcPr>
          <w:p w:rsidR="007124F0" w:rsidRPr="00265431" w:rsidRDefault="007124F0" w:rsidP="007124F0">
            <w:pPr>
              <w:rPr>
                <w:rFonts w:cs="dcr10"/>
                <w:i/>
                <w:sz w:val="20"/>
                <w:szCs w:val="20"/>
              </w:rPr>
            </w:pPr>
          </w:p>
          <w:p w:rsidR="007124F0" w:rsidRPr="00265431" w:rsidRDefault="007124F0" w:rsidP="007124F0">
            <w:pPr>
              <w:rPr>
                <w:rFonts w:cs="dcr10"/>
                <w:i/>
                <w:sz w:val="20"/>
                <w:szCs w:val="20"/>
              </w:rPr>
            </w:pPr>
            <w:r>
              <w:rPr>
                <w:rFonts w:cs="dcr10"/>
                <w:i/>
                <w:sz w:val="20"/>
                <w:szCs w:val="20"/>
              </w:rPr>
              <w:t xml:space="preserve">  Interest Expense / Total Assets</w:t>
            </w:r>
          </w:p>
        </w:tc>
        <w:tc>
          <w:tcPr>
            <w:tcW w:w="2040" w:type="dxa"/>
            <w:noWrap/>
            <w:vAlign w:val="bottom"/>
          </w:tcPr>
          <w:p w:rsidR="007124F0" w:rsidRPr="00265431" w:rsidRDefault="007124F0" w:rsidP="007124F0">
            <w:pPr>
              <w:jc w:val="center"/>
              <w:rPr>
                <w:rFonts w:cs="Arial"/>
                <w:sz w:val="20"/>
                <w:szCs w:val="20"/>
              </w:rPr>
            </w:pPr>
            <w:r>
              <w:rPr>
                <w:rFonts w:cs="Arial"/>
                <w:sz w:val="20"/>
                <w:szCs w:val="20"/>
              </w:rPr>
              <w:t>0.0254</w:t>
            </w:r>
          </w:p>
        </w:tc>
        <w:tc>
          <w:tcPr>
            <w:tcW w:w="2160" w:type="dxa"/>
            <w:noWrap/>
            <w:vAlign w:val="bottom"/>
          </w:tcPr>
          <w:p w:rsidR="007124F0" w:rsidRPr="00265431" w:rsidRDefault="007124F0" w:rsidP="007124F0">
            <w:pPr>
              <w:jc w:val="center"/>
              <w:rPr>
                <w:rFonts w:cs="Arial"/>
                <w:sz w:val="20"/>
                <w:szCs w:val="20"/>
              </w:rPr>
            </w:pPr>
            <w:r>
              <w:rPr>
                <w:rFonts w:cs="Arial"/>
                <w:sz w:val="20"/>
                <w:szCs w:val="20"/>
              </w:rPr>
              <w:t>0.0369</w:t>
            </w:r>
          </w:p>
        </w:tc>
        <w:tc>
          <w:tcPr>
            <w:tcW w:w="2148" w:type="dxa"/>
          </w:tcPr>
          <w:p w:rsidR="007124F0" w:rsidRDefault="007124F0" w:rsidP="007124F0">
            <w:pPr>
              <w:jc w:val="center"/>
              <w:rPr>
                <w:rFonts w:cs="Arial"/>
                <w:sz w:val="20"/>
                <w:szCs w:val="20"/>
              </w:rPr>
            </w:pPr>
          </w:p>
          <w:p w:rsidR="007124F0" w:rsidRPr="002408E7" w:rsidRDefault="007124F0" w:rsidP="007124F0">
            <w:pPr>
              <w:jc w:val="center"/>
              <w:rPr>
                <w:rFonts w:cs="Arial"/>
                <w:sz w:val="20"/>
                <w:szCs w:val="20"/>
                <w:vertAlign w:val="superscript"/>
              </w:rPr>
            </w:pPr>
            <w:r>
              <w:rPr>
                <w:rFonts w:cs="Arial"/>
                <w:sz w:val="20"/>
                <w:szCs w:val="20"/>
              </w:rPr>
              <w:t>0.0115</w:t>
            </w:r>
            <w:r>
              <w:rPr>
                <w:rFonts w:cs="Arial"/>
                <w:sz w:val="20"/>
                <w:szCs w:val="20"/>
                <w:vertAlign w:val="superscript"/>
              </w:rPr>
              <w:t xml:space="preserve">*** </w:t>
            </w:r>
          </w:p>
        </w:tc>
      </w:tr>
      <w:tr w:rsidR="007124F0" w:rsidRPr="00265431" w:rsidTr="007124F0">
        <w:trPr>
          <w:trHeight w:val="264"/>
        </w:trPr>
        <w:tc>
          <w:tcPr>
            <w:tcW w:w="3120" w:type="dxa"/>
            <w:noWrap/>
            <w:vAlign w:val="bottom"/>
          </w:tcPr>
          <w:p w:rsidR="007124F0" w:rsidRPr="00265431" w:rsidRDefault="007124F0" w:rsidP="007124F0">
            <w:pPr>
              <w:rPr>
                <w:rFonts w:cs="dcr10"/>
                <w:i/>
                <w:sz w:val="20"/>
                <w:szCs w:val="20"/>
              </w:rPr>
            </w:pPr>
          </w:p>
          <w:p w:rsidR="007124F0" w:rsidRPr="00265431" w:rsidRDefault="007124F0" w:rsidP="007124F0">
            <w:pPr>
              <w:rPr>
                <w:rFonts w:cs="Arial"/>
                <w:i/>
                <w:sz w:val="20"/>
                <w:szCs w:val="20"/>
              </w:rPr>
            </w:pPr>
            <w:r w:rsidRPr="00265431">
              <w:rPr>
                <w:rFonts w:cs="dcr10"/>
                <w:i/>
                <w:sz w:val="20"/>
                <w:szCs w:val="20"/>
              </w:rPr>
              <w:t xml:space="preserve">  </w:t>
            </w:r>
            <w:r>
              <w:rPr>
                <w:rFonts w:cs="dcr10"/>
                <w:i/>
                <w:sz w:val="20"/>
                <w:szCs w:val="20"/>
              </w:rPr>
              <w:t>EBITDA / Interest Expense</w:t>
            </w:r>
          </w:p>
        </w:tc>
        <w:tc>
          <w:tcPr>
            <w:tcW w:w="2040" w:type="dxa"/>
            <w:noWrap/>
            <w:vAlign w:val="bottom"/>
          </w:tcPr>
          <w:p w:rsidR="007124F0" w:rsidRPr="00265431" w:rsidRDefault="007124F0" w:rsidP="007124F0">
            <w:pPr>
              <w:jc w:val="center"/>
              <w:rPr>
                <w:rFonts w:cs="Arial"/>
                <w:sz w:val="20"/>
                <w:szCs w:val="20"/>
              </w:rPr>
            </w:pPr>
            <w:r>
              <w:rPr>
                <w:rFonts w:cs="Arial"/>
                <w:sz w:val="20"/>
                <w:szCs w:val="20"/>
              </w:rPr>
              <w:t>3.2100</w:t>
            </w:r>
          </w:p>
        </w:tc>
        <w:tc>
          <w:tcPr>
            <w:tcW w:w="2160" w:type="dxa"/>
            <w:noWrap/>
            <w:vAlign w:val="bottom"/>
          </w:tcPr>
          <w:p w:rsidR="007124F0" w:rsidRPr="00265431" w:rsidRDefault="007124F0" w:rsidP="007124F0">
            <w:pPr>
              <w:jc w:val="center"/>
              <w:rPr>
                <w:rFonts w:cs="Arial"/>
                <w:sz w:val="20"/>
                <w:szCs w:val="20"/>
              </w:rPr>
            </w:pPr>
            <w:r>
              <w:rPr>
                <w:rFonts w:cs="Arial"/>
                <w:sz w:val="20"/>
                <w:szCs w:val="20"/>
              </w:rPr>
              <w:t>2.5300</w:t>
            </w:r>
          </w:p>
        </w:tc>
        <w:tc>
          <w:tcPr>
            <w:tcW w:w="2148" w:type="dxa"/>
          </w:tcPr>
          <w:p w:rsidR="007124F0" w:rsidRDefault="007124F0" w:rsidP="007124F0">
            <w:pPr>
              <w:jc w:val="center"/>
              <w:rPr>
                <w:rFonts w:cs="Arial"/>
                <w:sz w:val="20"/>
                <w:szCs w:val="20"/>
              </w:rPr>
            </w:pPr>
          </w:p>
          <w:p w:rsidR="007124F0" w:rsidRPr="002408E7" w:rsidRDefault="007124F0" w:rsidP="007124F0">
            <w:pPr>
              <w:jc w:val="center"/>
              <w:rPr>
                <w:rFonts w:cs="Arial"/>
                <w:sz w:val="20"/>
                <w:szCs w:val="20"/>
                <w:vertAlign w:val="superscript"/>
              </w:rPr>
            </w:pPr>
            <w:r>
              <w:rPr>
                <w:rFonts w:cs="Arial"/>
                <w:sz w:val="20"/>
                <w:szCs w:val="20"/>
              </w:rPr>
              <w:t>0.6800</w:t>
            </w:r>
            <w:r>
              <w:rPr>
                <w:rFonts w:cs="Arial"/>
                <w:sz w:val="20"/>
                <w:szCs w:val="20"/>
                <w:vertAlign w:val="superscript"/>
              </w:rPr>
              <w:t>***</w:t>
            </w:r>
          </w:p>
        </w:tc>
      </w:tr>
      <w:tr w:rsidR="007124F0" w:rsidRPr="00265431" w:rsidTr="007124F0">
        <w:trPr>
          <w:trHeight w:val="264"/>
        </w:trPr>
        <w:tc>
          <w:tcPr>
            <w:tcW w:w="3120" w:type="dxa"/>
            <w:noWrap/>
            <w:vAlign w:val="bottom"/>
          </w:tcPr>
          <w:p w:rsidR="007124F0" w:rsidRDefault="007124F0" w:rsidP="007124F0">
            <w:pPr>
              <w:rPr>
                <w:rFonts w:cs="Arial"/>
                <w:i/>
                <w:sz w:val="20"/>
                <w:szCs w:val="20"/>
              </w:rPr>
            </w:pPr>
          </w:p>
          <w:p w:rsidR="007124F0" w:rsidRPr="00265431" w:rsidRDefault="007124F0" w:rsidP="007124F0">
            <w:pPr>
              <w:rPr>
                <w:rFonts w:cs="Arial"/>
                <w:b/>
                <w:i/>
                <w:sz w:val="20"/>
                <w:szCs w:val="20"/>
              </w:rPr>
            </w:pPr>
            <w:r>
              <w:rPr>
                <w:rFonts w:cs="Arial"/>
                <w:i/>
                <w:sz w:val="20"/>
                <w:szCs w:val="20"/>
              </w:rPr>
              <w:t xml:space="preserve">  Pre-Dividend CF / Total Assets</w:t>
            </w:r>
          </w:p>
        </w:tc>
        <w:tc>
          <w:tcPr>
            <w:tcW w:w="2040" w:type="dxa"/>
            <w:noWrap/>
            <w:vAlign w:val="bottom"/>
          </w:tcPr>
          <w:p w:rsidR="007124F0" w:rsidRPr="00265431" w:rsidRDefault="007124F0" w:rsidP="007124F0">
            <w:pPr>
              <w:jc w:val="center"/>
              <w:rPr>
                <w:rFonts w:cs="Arial"/>
                <w:sz w:val="20"/>
                <w:szCs w:val="20"/>
              </w:rPr>
            </w:pPr>
            <w:r>
              <w:rPr>
                <w:rFonts w:cs="Arial"/>
                <w:sz w:val="20"/>
                <w:szCs w:val="20"/>
              </w:rPr>
              <w:t>0.0596</w:t>
            </w:r>
          </w:p>
        </w:tc>
        <w:tc>
          <w:tcPr>
            <w:tcW w:w="2160" w:type="dxa"/>
            <w:noWrap/>
            <w:vAlign w:val="bottom"/>
          </w:tcPr>
          <w:p w:rsidR="007124F0" w:rsidRPr="00265431" w:rsidRDefault="007124F0" w:rsidP="007124F0">
            <w:pPr>
              <w:jc w:val="center"/>
              <w:rPr>
                <w:rFonts w:cs="Arial"/>
                <w:sz w:val="20"/>
                <w:szCs w:val="20"/>
              </w:rPr>
            </w:pPr>
            <w:r>
              <w:rPr>
                <w:rFonts w:cs="Arial"/>
                <w:sz w:val="20"/>
                <w:szCs w:val="20"/>
              </w:rPr>
              <w:t>0.0489</w:t>
            </w:r>
          </w:p>
        </w:tc>
        <w:tc>
          <w:tcPr>
            <w:tcW w:w="2148" w:type="dxa"/>
          </w:tcPr>
          <w:p w:rsidR="007124F0" w:rsidRDefault="007124F0" w:rsidP="007124F0">
            <w:pPr>
              <w:jc w:val="center"/>
              <w:rPr>
                <w:rFonts w:cs="Arial"/>
                <w:sz w:val="20"/>
                <w:szCs w:val="20"/>
              </w:rPr>
            </w:pPr>
          </w:p>
          <w:p w:rsidR="007124F0" w:rsidRPr="002408E7" w:rsidRDefault="007124F0" w:rsidP="007124F0">
            <w:pPr>
              <w:jc w:val="center"/>
              <w:rPr>
                <w:rFonts w:cs="Arial"/>
                <w:sz w:val="20"/>
                <w:szCs w:val="20"/>
                <w:vertAlign w:val="superscript"/>
              </w:rPr>
            </w:pPr>
            <w:r>
              <w:rPr>
                <w:rFonts w:cs="Arial"/>
                <w:sz w:val="20"/>
                <w:szCs w:val="20"/>
              </w:rPr>
              <w:t>0.0107</w:t>
            </w:r>
            <w:r>
              <w:rPr>
                <w:rFonts w:cs="Arial"/>
                <w:sz w:val="20"/>
                <w:szCs w:val="20"/>
                <w:vertAlign w:val="superscript"/>
              </w:rPr>
              <w:t>***</w:t>
            </w:r>
          </w:p>
        </w:tc>
      </w:tr>
      <w:tr w:rsidR="007124F0" w:rsidRPr="00265431" w:rsidTr="007124F0">
        <w:trPr>
          <w:trHeight w:val="264"/>
        </w:trPr>
        <w:tc>
          <w:tcPr>
            <w:tcW w:w="3120"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i/>
                <w:sz w:val="20"/>
                <w:szCs w:val="20"/>
              </w:rPr>
            </w:pPr>
            <w:r>
              <w:rPr>
                <w:rFonts w:cs="Arial"/>
                <w:i/>
                <w:sz w:val="20"/>
                <w:szCs w:val="20"/>
              </w:rPr>
              <w:t xml:space="preserve">  Dividends / Total Assets</w:t>
            </w:r>
          </w:p>
        </w:tc>
        <w:tc>
          <w:tcPr>
            <w:tcW w:w="2040" w:type="dxa"/>
            <w:noWrap/>
            <w:vAlign w:val="bottom"/>
          </w:tcPr>
          <w:p w:rsidR="007124F0" w:rsidRPr="00265431" w:rsidRDefault="007124F0" w:rsidP="007124F0">
            <w:pPr>
              <w:jc w:val="center"/>
              <w:rPr>
                <w:rFonts w:cs="Arial"/>
                <w:sz w:val="20"/>
                <w:szCs w:val="20"/>
              </w:rPr>
            </w:pPr>
            <w:r>
              <w:rPr>
                <w:rFonts w:cs="Arial"/>
                <w:sz w:val="20"/>
                <w:szCs w:val="20"/>
              </w:rPr>
              <w:t>0.0431</w:t>
            </w:r>
          </w:p>
        </w:tc>
        <w:tc>
          <w:tcPr>
            <w:tcW w:w="2160" w:type="dxa"/>
            <w:noWrap/>
            <w:vAlign w:val="bottom"/>
          </w:tcPr>
          <w:p w:rsidR="007124F0" w:rsidRPr="00265431" w:rsidRDefault="007124F0" w:rsidP="007124F0">
            <w:pPr>
              <w:jc w:val="center"/>
              <w:rPr>
                <w:rFonts w:cs="Arial"/>
                <w:sz w:val="20"/>
                <w:szCs w:val="20"/>
              </w:rPr>
            </w:pPr>
            <w:r w:rsidRPr="00265431">
              <w:rPr>
                <w:rFonts w:cs="Arial"/>
                <w:sz w:val="20"/>
                <w:szCs w:val="20"/>
              </w:rPr>
              <w:t>0.</w:t>
            </w:r>
            <w:r>
              <w:rPr>
                <w:rFonts w:cs="Arial"/>
                <w:sz w:val="20"/>
                <w:szCs w:val="20"/>
              </w:rPr>
              <w:t>0281</w:t>
            </w:r>
          </w:p>
        </w:tc>
        <w:tc>
          <w:tcPr>
            <w:tcW w:w="2148" w:type="dxa"/>
          </w:tcPr>
          <w:p w:rsidR="007124F0" w:rsidRDefault="007124F0" w:rsidP="007124F0">
            <w:pPr>
              <w:jc w:val="center"/>
              <w:rPr>
                <w:rFonts w:cs="Arial"/>
                <w:sz w:val="20"/>
                <w:szCs w:val="20"/>
              </w:rPr>
            </w:pPr>
          </w:p>
          <w:p w:rsidR="007124F0" w:rsidRPr="002408E7" w:rsidRDefault="007124F0" w:rsidP="007124F0">
            <w:pPr>
              <w:jc w:val="center"/>
              <w:rPr>
                <w:rFonts w:cs="Arial"/>
                <w:sz w:val="20"/>
                <w:szCs w:val="20"/>
                <w:vertAlign w:val="superscript"/>
              </w:rPr>
            </w:pPr>
            <w:r>
              <w:rPr>
                <w:rFonts w:cs="Arial"/>
                <w:sz w:val="20"/>
                <w:szCs w:val="20"/>
              </w:rPr>
              <w:t>0.0150</w:t>
            </w:r>
            <w:r>
              <w:rPr>
                <w:rFonts w:cs="Arial"/>
                <w:sz w:val="20"/>
                <w:szCs w:val="20"/>
                <w:vertAlign w:val="superscript"/>
              </w:rPr>
              <w:t>***</w:t>
            </w:r>
          </w:p>
        </w:tc>
      </w:tr>
      <w:tr w:rsidR="007124F0" w:rsidRPr="00265431" w:rsidTr="007124F0">
        <w:trPr>
          <w:trHeight w:val="264"/>
        </w:trPr>
        <w:tc>
          <w:tcPr>
            <w:tcW w:w="3120" w:type="dxa"/>
            <w:noWrap/>
            <w:vAlign w:val="bottom"/>
          </w:tcPr>
          <w:p w:rsidR="007124F0" w:rsidRPr="00265431" w:rsidRDefault="007124F0" w:rsidP="007124F0">
            <w:pPr>
              <w:rPr>
                <w:rFonts w:cs="Arial"/>
                <w:i/>
                <w:sz w:val="20"/>
                <w:szCs w:val="20"/>
              </w:rPr>
            </w:pPr>
          </w:p>
          <w:p w:rsidR="007124F0" w:rsidRPr="00265431" w:rsidRDefault="007124F0" w:rsidP="007124F0">
            <w:pPr>
              <w:rPr>
                <w:rFonts w:cs="Arial"/>
                <w:i/>
                <w:sz w:val="20"/>
                <w:szCs w:val="20"/>
              </w:rPr>
            </w:pPr>
            <w:r>
              <w:rPr>
                <w:rFonts w:cs="Arial"/>
                <w:i/>
                <w:sz w:val="20"/>
                <w:szCs w:val="20"/>
              </w:rPr>
              <w:t xml:space="preserve">  Dividends / Pre-Dividend CF</w:t>
            </w:r>
          </w:p>
        </w:tc>
        <w:tc>
          <w:tcPr>
            <w:tcW w:w="2040" w:type="dxa"/>
            <w:noWrap/>
            <w:vAlign w:val="bottom"/>
          </w:tcPr>
          <w:p w:rsidR="007124F0" w:rsidRPr="00265431" w:rsidRDefault="007124F0" w:rsidP="007124F0">
            <w:pPr>
              <w:jc w:val="center"/>
              <w:rPr>
                <w:rFonts w:cs="Arial"/>
                <w:sz w:val="20"/>
                <w:szCs w:val="20"/>
              </w:rPr>
            </w:pPr>
            <w:r>
              <w:rPr>
                <w:rFonts w:cs="Arial"/>
                <w:sz w:val="20"/>
                <w:szCs w:val="20"/>
              </w:rPr>
              <w:t>0.7107</w:t>
            </w:r>
          </w:p>
        </w:tc>
        <w:tc>
          <w:tcPr>
            <w:tcW w:w="2160" w:type="dxa"/>
            <w:noWrap/>
            <w:vAlign w:val="bottom"/>
          </w:tcPr>
          <w:p w:rsidR="007124F0" w:rsidRPr="00265431" w:rsidRDefault="007124F0" w:rsidP="007124F0">
            <w:pPr>
              <w:jc w:val="center"/>
              <w:rPr>
                <w:rFonts w:cs="Arial"/>
                <w:sz w:val="20"/>
                <w:szCs w:val="20"/>
              </w:rPr>
            </w:pPr>
            <w:r>
              <w:rPr>
                <w:rFonts w:cs="Arial"/>
                <w:sz w:val="20"/>
                <w:szCs w:val="20"/>
              </w:rPr>
              <w:t>0.6114</w:t>
            </w:r>
          </w:p>
        </w:tc>
        <w:tc>
          <w:tcPr>
            <w:tcW w:w="2148" w:type="dxa"/>
          </w:tcPr>
          <w:p w:rsidR="007124F0" w:rsidRDefault="007124F0" w:rsidP="007124F0">
            <w:pPr>
              <w:jc w:val="center"/>
              <w:rPr>
                <w:rFonts w:cs="Arial"/>
                <w:sz w:val="20"/>
                <w:szCs w:val="20"/>
              </w:rPr>
            </w:pPr>
          </w:p>
          <w:p w:rsidR="007124F0" w:rsidRPr="00A657F8" w:rsidRDefault="007124F0" w:rsidP="007124F0">
            <w:pPr>
              <w:rPr>
                <w:rFonts w:cs="Arial"/>
                <w:sz w:val="20"/>
                <w:szCs w:val="20"/>
                <w:vertAlign w:val="superscript"/>
              </w:rPr>
            </w:pPr>
            <w:r>
              <w:rPr>
                <w:rFonts w:cs="Arial"/>
                <w:sz w:val="20"/>
                <w:szCs w:val="20"/>
              </w:rPr>
              <w:t xml:space="preserve">            0.0993</w:t>
            </w:r>
            <w:r>
              <w:rPr>
                <w:rFonts w:cs="Arial"/>
                <w:sz w:val="20"/>
                <w:szCs w:val="20"/>
                <w:vertAlign w:val="superscript"/>
              </w:rPr>
              <w:t>*</w:t>
            </w:r>
          </w:p>
        </w:tc>
      </w:tr>
      <w:tr w:rsidR="007124F0" w:rsidRPr="00265431" w:rsidTr="007124F0">
        <w:trPr>
          <w:trHeight w:val="264"/>
        </w:trPr>
        <w:tc>
          <w:tcPr>
            <w:tcW w:w="3120" w:type="dxa"/>
            <w:tcBorders>
              <w:bottom w:val="double" w:sz="4" w:space="0" w:color="auto"/>
            </w:tcBorders>
            <w:noWrap/>
            <w:vAlign w:val="bottom"/>
          </w:tcPr>
          <w:p w:rsidR="007124F0" w:rsidRDefault="007124F0" w:rsidP="007124F0">
            <w:pPr>
              <w:rPr>
                <w:rFonts w:cs="Arial"/>
                <w:i/>
                <w:sz w:val="20"/>
                <w:szCs w:val="20"/>
              </w:rPr>
            </w:pPr>
          </w:p>
          <w:p w:rsidR="007124F0" w:rsidRPr="00265431" w:rsidRDefault="007124F0" w:rsidP="007124F0">
            <w:pPr>
              <w:rPr>
                <w:rFonts w:cs="Arial"/>
                <w:i/>
                <w:sz w:val="20"/>
                <w:szCs w:val="20"/>
              </w:rPr>
            </w:pPr>
            <w:r>
              <w:rPr>
                <w:rFonts w:cs="Arial"/>
                <w:i/>
                <w:sz w:val="20"/>
                <w:szCs w:val="20"/>
              </w:rPr>
              <w:t xml:space="preserve">  Post-Dividend CF / Total Assets</w:t>
            </w:r>
          </w:p>
        </w:tc>
        <w:tc>
          <w:tcPr>
            <w:tcW w:w="2040" w:type="dxa"/>
            <w:tcBorders>
              <w:bottom w:val="double" w:sz="4" w:space="0" w:color="auto"/>
            </w:tcBorders>
            <w:noWrap/>
            <w:vAlign w:val="bottom"/>
          </w:tcPr>
          <w:p w:rsidR="007124F0" w:rsidRPr="00265431" w:rsidRDefault="007124F0" w:rsidP="007124F0">
            <w:pPr>
              <w:jc w:val="center"/>
              <w:rPr>
                <w:rFonts w:cs="Arial"/>
                <w:sz w:val="20"/>
                <w:szCs w:val="20"/>
              </w:rPr>
            </w:pPr>
            <w:r>
              <w:rPr>
                <w:rFonts w:cs="Arial"/>
                <w:sz w:val="20"/>
                <w:szCs w:val="20"/>
              </w:rPr>
              <w:t>0.0179</w:t>
            </w:r>
          </w:p>
        </w:tc>
        <w:tc>
          <w:tcPr>
            <w:tcW w:w="2160" w:type="dxa"/>
            <w:tcBorders>
              <w:bottom w:val="double" w:sz="4" w:space="0" w:color="auto"/>
            </w:tcBorders>
            <w:noWrap/>
            <w:vAlign w:val="bottom"/>
          </w:tcPr>
          <w:p w:rsidR="007124F0" w:rsidRPr="00265431" w:rsidRDefault="007124F0" w:rsidP="007124F0">
            <w:pPr>
              <w:jc w:val="center"/>
              <w:rPr>
                <w:rFonts w:cs="Arial"/>
                <w:sz w:val="20"/>
                <w:szCs w:val="20"/>
              </w:rPr>
            </w:pPr>
            <w:r>
              <w:rPr>
                <w:rFonts w:cs="Arial"/>
                <w:sz w:val="20"/>
                <w:szCs w:val="20"/>
              </w:rPr>
              <w:t>0.0196</w:t>
            </w:r>
          </w:p>
        </w:tc>
        <w:tc>
          <w:tcPr>
            <w:tcW w:w="2148" w:type="dxa"/>
            <w:tcBorders>
              <w:bottom w:val="double" w:sz="4" w:space="0" w:color="auto"/>
            </w:tcBorders>
          </w:tcPr>
          <w:p w:rsidR="007124F0" w:rsidRDefault="007124F0" w:rsidP="007124F0">
            <w:pPr>
              <w:jc w:val="center"/>
              <w:rPr>
                <w:rFonts w:cs="Arial"/>
                <w:sz w:val="20"/>
                <w:szCs w:val="20"/>
              </w:rPr>
            </w:pPr>
          </w:p>
          <w:p w:rsidR="007124F0" w:rsidRPr="00265431" w:rsidRDefault="007124F0" w:rsidP="007124F0">
            <w:pPr>
              <w:rPr>
                <w:rFonts w:cs="Arial"/>
                <w:sz w:val="20"/>
                <w:szCs w:val="20"/>
              </w:rPr>
            </w:pPr>
            <w:r>
              <w:rPr>
                <w:rFonts w:cs="Arial"/>
                <w:sz w:val="20"/>
                <w:szCs w:val="20"/>
              </w:rPr>
              <w:t xml:space="preserve">            0.0017</w:t>
            </w:r>
          </w:p>
        </w:tc>
      </w:tr>
    </w:tbl>
    <w:p w:rsidR="007124F0" w:rsidRPr="00A66642" w:rsidRDefault="007124F0" w:rsidP="007124F0">
      <w:pPr>
        <w:jc w:val="both"/>
        <w:rPr>
          <w:sz w:val="18"/>
          <w:szCs w:val="18"/>
        </w:rPr>
      </w:pPr>
      <w:r w:rsidRPr="00A66642">
        <w:rPr>
          <w:sz w:val="18"/>
          <w:szCs w:val="18"/>
        </w:rPr>
        <w:t xml:space="preserve">Note: ***, ** and * indicate statistical significance at the 1%, 5% and 10% (two-tail) test levels, respectively. </w:t>
      </w:r>
    </w:p>
    <w:p w:rsidR="007124F0" w:rsidRPr="00782D51" w:rsidRDefault="007124F0" w:rsidP="007124F0">
      <w:pPr>
        <w:jc w:val="both"/>
      </w:pPr>
    </w:p>
    <w:p w:rsidR="007124F0" w:rsidRPr="00DA610F" w:rsidRDefault="007124F0" w:rsidP="007124F0"/>
    <w:p w:rsidR="007124F0" w:rsidRDefault="007124F0" w:rsidP="007124F0"/>
    <w:p w:rsidR="00FF5A6E" w:rsidRPr="00782D51" w:rsidRDefault="007124F0" w:rsidP="007124F0">
      <w:r w:rsidRPr="00782D51">
        <w:t xml:space="preserve"> </w:t>
      </w:r>
    </w:p>
    <w:p w:rsidR="00FF5A6E" w:rsidRPr="00DA610F" w:rsidRDefault="00FF5A6E" w:rsidP="00DA610F"/>
    <w:sectPr w:rsidR="00FF5A6E" w:rsidRPr="00DA610F" w:rsidSect="008F6C3B">
      <w:footerReference w:type="even" r:id="rId123"/>
      <w:footerReference w:type="default" r:id="rId124"/>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01D" w:rsidRDefault="005D401D">
      <w:r>
        <w:separator/>
      </w:r>
    </w:p>
  </w:endnote>
  <w:endnote w:type="continuationSeparator" w:id="0">
    <w:p w:rsidR="005D401D" w:rsidRDefault="005D4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dcr1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53" w:rsidRDefault="001F623A" w:rsidP="002639ED">
    <w:pPr>
      <w:pStyle w:val="Footer"/>
      <w:framePr w:wrap="auto" w:vAnchor="text" w:hAnchor="margin" w:xAlign="center" w:y="1"/>
      <w:rPr>
        <w:rStyle w:val="PageNumber"/>
      </w:rPr>
    </w:pPr>
    <w:r>
      <w:rPr>
        <w:rStyle w:val="PageNumber"/>
      </w:rPr>
      <w:fldChar w:fldCharType="begin"/>
    </w:r>
    <w:r w:rsidR="00734653">
      <w:rPr>
        <w:rStyle w:val="PageNumber"/>
      </w:rPr>
      <w:instrText xml:space="preserve">PAGE  </w:instrText>
    </w:r>
    <w:r>
      <w:rPr>
        <w:rStyle w:val="PageNumber"/>
      </w:rPr>
      <w:fldChar w:fldCharType="end"/>
    </w:r>
  </w:p>
  <w:p w:rsidR="00734653" w:rsidRDefault="007346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53" w:rsidRDefault="001F623A" w:rsidP="002639ED">
    <w:pPr>
      <w:pStyle w:val="Footer"/>
      <w:framePr w:wrap="auto" w:vAnchor="text" w:hAnchor="margin" w:xAlign="center" w:y="1"/>
      <w:rPr>
        <w:rStyle w:val="PageNumber"/>
      </w:rPr>
    </w:pPr>
    <w:r>
      <w:rPr>
        <w:rStyle w:val="PageNumber"/>
      </w:rPr>
      <w:fldChar w:fldCharType="begin"/>
    </w:r>
    <w:r w:rsidR="00734653">
      <w:rPr>
        <w:rStyle w:val="PageNumber"/>
      </w:rPr>
      <w:instrText xml:space="preserve">PAGE  </w:instrText>
    </w:r>
    <w:r>
      <w:rPr>
        <w:rStyle w:val="PageNumber"/>
      </w:rPr>
      <w:fldChar w:fldCharType="separate"/>
    </w:r>
    <w:r w:rsidR="00511EC6">
      <w:rPr>
        <w:rStyle w:val="PageNumber"/>
        <w:noProof/>
      </w:rPr>
      <w:t>48</w:t>
    </w:r>
    <w:r>
      <w:rPr>
        <w:rStyle w:val="PageNumber"/>
      </w:rPr>
      <w:fldChar w:fldCharType="end"/>
    </w:r>
  </w:p>
  <w:p w:rsidR="00734653" w:rsidRDefault="007346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01D" w:rsidRDefault="005D401D">
      <w:r>
        <w:separator/>
      </w:r>
    </w:p>
  </w:footnote>
  <w:footnote w:type="continuationSeparator" w:id="0">
    <w:p w:rsidR="005D401D" w:rsidRDefault="005D401D">
      <w:r>
        <w:continuationSeparator/>
      </w:r>
    </w:p>
  </w:footnote>
  <w:footnote w:id="1">
    <w:p w:rsidR="00734653" w:rsidRDefault="00734653" w:rsidP="00D060DD">
      <w:pPr>
        <w:pStyle w:val="FootnoteText"/>
        <w:jc w:val="both"/>
      </w:pPr>
      <w:r>
        <w:rPr>
          <w:rStyle w:val="FootnoteReference"/>
        </w:rPr>
        <w:footnoteRef/>
      </w:r>
      <w:r>
        <w:t xml:space="preserve">See World Bank Investment Climate Survey at </w:t>
      </w:r>
      <w:hyperlink r:id="rId1" w:history="1">
        <w:r w:rsidRPr="00331ED0">
          <w:rPr>
            <w:rStyle w:val="Hyperlink"/>
          </w:rPr>
          <w:t>http://ireserach.worldbank.org/ics/jsp/index.jsp</w:t>
        </w:r>
      </w:hyperlink>
      <w:r>
        <w:t xml:space="preserve">.    </w:t>
      </w:r>
    </w:p>
  </w:footnote>
  <w:footnote w:id="2">
    <w:p w:rsidR="00734653" w:rsidRDefault="00734653" w:rsidP="00D060DD">
      <w:pPr>
        <w:pStyle w:val="FootnoteText"/>
        <w:jc w:val="both"/>
      </w:pPr>
      <w:r>
        <w:rPr>
          <w:rStyle w:val="FootnoteReference"/>
        </w:rPr>
        <w:footnoteRef/>
      </w:r>
      <w:r>
        <w:t xml:space="preserve"> Note that, in the case of REITs, the requirement to pay out a large proportion of the operating cash flows drastically limits the amount of inside equity and holdings of liquid assets.  This issue will be examined in more depth in our empirical analysis.</w:t>
      </w:r>
    </w:p>
  </w:footnote>
  <w:footnote w:id="3">
    <w:p w:rsidR="00734653" w:rsidRDefault="00734653" w:rsidP="00D060DD">
      <w:pPr>
        <w:pStyle w:val="FootnoteText"/>
        <w:jc w:val="both"/>
      </w:pPr>
      <w:r>
        <w:rPr>
          <w:rStyle w:val="FootnoteReference"/>
        </w:rPr>
        <w:footnoteRef/>
      </w:r>
      <w:r>
        <w:t xml:space="preserve"> We are interested in the cross-collateralization properties of unsecured debt relative to secured debt. Consequently we limit recovery rights to secured debt to the value of a specified asset. There are other ways to characterize secured and unsecured debt. For example, </w:t>
      </w:r>
      <w:proofErr w:type="spellStart"/>
      <w:r>
        <w:t>Stulz</w:t>
      </w:r>
      <w:proofErr w:type="spellEnd"/>
      <w:r>
        <w:t xml:space="preserve"> and Johnson (1985) focus on priority of secured debt without liability being limited to the value of any specific asset. Boot, </w:t>
      </w:r>
      <w:proofErr w:type="spellStart"/>
      <w:r>
        <w:t>Thakor</w:t>
      </w:r>
      <w:proofErr w:type="spellEnd"/>
      <w:r>
        <w:t xml:space="preserve"> and </w:t>
      </w:r>
      <w:proofErr w:type="spellStart"/>
      <w:r>
        <w:t>Udell</w:t>
      </w:r>
      <w:proofErr w:type="spellEnd"/>
      <w:r>
        <w:t xml:space="preserve"> (1991) also focus on priority and simply assume that unsecured debt generates a zero payoff in default while secured debt generates a positive payoff.</w:t>
      </w:r>
    </w:p>
  </w:footnote>
  <w:footnote w:id="4">
    <w:p w:rsidR="00734653" w:rsidRDefault="00734653" w:rsidP="00D060DD">
      <w:pPr>
        <w:pStyle w:val="FootnoteText"/>
        <w:jc w:val="both"/>
      </w:pPr>
      <w:r>
        <w:rPr>
          <w:rStyle w:val="FootnoteReference"/>
        </w:rPr>
        <w:footnoteRef/>
      </w:r>
      <w:r>
        <w:t xml:space="preserve"> In a similar vein, it is straightforward to consider providing inside equity holders control rights, in the sense of having to satisfy a </w:t>
      </w:r>
      <w:r>
        <w:rPr>
          <w:i/>
        </w:rPr>
        <w:t xml:space="preserve">status quo </w:t>
      </w:r>
      <w:r>
        <w:t xml:space="preserve">participation constraint for existing equity holders as related to financing with unsecured debt. Doing so may impose a cost on the </w:t>
      </w:r>
      <w:r>
        <w:rPr>
          <w:i/>
        </w:rPr>
        <w:t xml:space="preserve">w </w:t>
      </w:r>
      <w:r>
        <w:t xml:space="preserve">creditors, however, who might be forced to surrender some of their gains associated with investment and financing of </w:t>
      </w:r>
      <w:r>
        <w:rPr>
          <w:i/>
        </w:rPr>
        <w:t>u</w:t>
      </w:r>
      <w:r>
        <w:t>.</w:t>
      </w:r>
    </w:p>
  </w:footnote>
  <w:footnote w:id="5">
    <w:p w:rsidR="00734653" w:rsidRDefault="00734653" w:rsidP="00D060DD">
      <w:pPr>
        <w:pStyle w:val="FootnoteText"/>
        <w:jc w:val="both"/>
      </w:pPr>
      <w:r>
        <w:rPr>
          <w:rStyle w:val="FootnoteReference"/>
        </w:rPr>
        <w:footnoteRef/>
      </w:r>
      <w:r>
        <w:t xml:space="preserve"> In our model we assumed that proceeds from secured debt issuance were sufficient to fund investment. In reality, absent additional guarantees or collateral, there are down payment requirements with secured debt, implying that cash constraints may reduce investment.</w:t>
      </w:r>
    </w:p>
  </w:footnote>
  <w:footnote w:id="6">
    <w:p w:rsidR="00734653" w:rsidRDefault="00734653" w:rsidP="00D060DD">
      <w:pPr>
        <w:pStyle w:val="FootnoteText"/>
        <w:jc w:val="both"/>
      </w:pPr>
      <w:r>
        <w:rPr>
          <w:rStyle w:val="FootnoteReference"/>
        </w:rPr>
        <w:footnoteRef/>
      </w:r>
      <w:r>
        <w:t xml:space="preserve"> In percentages, our sample includes 25% of residential REITs, 42% of retail REITs, 22% of office REITs, and 11% of industrial REITs. </w:t>
      </w:r>
    </w:p>
  </w:footnote>
  <w:footnote w:id="7">
    <w:p w:rsidR="00734653" w:rsidRDefault="00734653" w:rsidP="00D060DD">
      <w:pPr>
        <w:pStyle w:val="FootnoteText"/>
        <w:jc w:val="both"/>
      </w:pPr>
      <w:r>
        <w:rPr>
          <w:rStyle w:val="FootnoteReference"/>
        </w:rPr>
        <w:footnoteRef/>
      </w:r>
      <w:r>
        <w:t xml:space="preserve"> </w:t>
      </w:r>
      <w:proofErr w:type="spellStart"/>
      <w:r w:rsidRPr="00B76D50">
        <w:t>Stulz</w:t>
      </w:r>
      <w:proofErr w:type="spellEnd"/>
      <w:r w:rsidRPr="00B76D50">
        <w:t xml:space="preserve"> and Johnson (1985) </w:t>
      </w:r>
      <w:r>
        <w:t xml:space="preserve">claim </w:t>
      </w:r>
      <w:r w:rsidRPr="00B76D50">
        <w:t xml:space="preserve">that secured debt provides protection against asset substitution when monitoring covenants is expensive, and also solves the underinvestment problem. </w:t>
      </w:r>
      <w:r>
        <w:t xml:space="preserve">However, </w:t>
      </w:r>
      <w:r w:rsidRPr="00B76D50">
        <w:t xml:space="preserve">this implies that equity holders are able to divert all valued added created by new projects from existing unsecured creditors, which would not be </w:t>
      </w:r>
      <w:r>
        <w:t xml:space="preserve">possible in </w:t>
      </w:r>
      <w:r w:rsidRPr="00B76D50">
        <w:t>a firm</w:t>
      </w:r>
      <w:r>
        <w:t xml:space="preserve"> with </w:t>
      </w:r>
      <w:r w:rsidRPr="00B76D50">
        <w:t xml:space="preserve">covenants that forbid the payment of dividends and </w:t>
      </w:r>
      <w:r>
        <w:t xml:space="preserve">where </w:t>
      </w:r>
      <w:r w:rsidRPr="00B76D50">
        <w:t xml:space="preserve">unsecured bond holders successfully engage in monitoring. Then, securing the debt of future investments would not prevent existing bondholders </w:t>
      </w:r>
      <w:r>
        <w:t>sharing the b</w:t>
      </w:r>
      <w:r w:rsidRPr="00B76D50">
        <w:t>enefit</w:t>
      </w:r>
      <w:r>
        <w:t xml:space="preserve">s of </w:t>
      </w:r>
      <w:r w:rsidRPr="00B76D50">
        <w:t>the value created by new investments.</w:t>
      </w:r>
      <w:r>
        <w:rPr>
          <w:color w:val="FF0000"/>
        </w:rPr>
        <w:t xml:space="preserve">     </w:t>
      </w:r>
      <w:r w:rsidRPr="00AD2C59">
        <w:rPr>
          <w:color w:val="FF000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7B93"/>
    <w:multiLevelType w:val="hybridMultilevel"/>
    <w:tmpl w:val="EE94297A"/>
    <w:lvl w:ilvl="0" w:tplc="0E80BED2">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51F459B"/>
    <w:multiLevelType w:val="hybridMultilevel"/>
    <w:tmpl w:val="44F85BAC"/>
    <w:lvl w:ilvl="0" w:tplc="4A60C0B4">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4530940"/>
    <w:multiLevelType w:val="hybridMultilevel"/>
    <w:tmpl w:val="A9B65F24"/>
    <w:lvl w:ilvl="0" w:tplc="85104634">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A7166E"/>
    <w:multiLevelType w:val="hybridMultilevel"/>
    <w:tmpl w:val="29D64982"/>
    <w:lvl w:ilvl="0" w:tplc="69405174">
      <w:start w:val="2"/>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2DE7DE7"/>
    <w:multiLevelType w:val="hybridMultilevel"/>
    <w:tmpl w:val="7A021F50"/>
    <w:lvl w:ilvl="0" w:tplc="45308FFE">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C8853A0"/>
    <w:multiLevelType w:val="hybridMultilevel"/>
    <w:tmpl w:val="29620DDA"/>
    <w:lvl w:ilvl="0" w:tplc="B8C03B38">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FB22614"/>
    <w:multiLevelType w:val="hybridMultilevel"/>
    <w:tmpl w:val="7138D6FC"/>
    <w:lvl w:ilvl="0" w:tplc="9DA8E52C">
      <w:start w:val="1"/>
      <w:numFmt w:val="upperRoman"/>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1C4AF1"/>
    <w:rsid w:val="00007066"/>
    <w:rsid w:val="00011D6D"/>
    <w:rsid w:val="000237E4"/>
    <w:rsid w:val="00026C91"/>
    <w:rsid w:val="000327E7"/>
    <w:rsid w:val="00033948"/>
    <w:rsid w:val="000347B7"/>
    <w:rsid w:val="000423CB"/>
    <w:rsid w:val="00046717"/>
    <w:rsid w:val="000479A8"/>
    <w:rsid w:val="00052531"/>
    <w:rsid w:val="0005539B"/>
    <w:rsid w:val="00056B31"/>
    <w:rsid w:val="00077FC1"/>
    <w:rsid w:val="00082539"/>
    <w:rsid w:val="00084A27"/>
    <w:rsid w:val="0008575B"/>
    <w:rsid w:val="00085DBE"/>
    <w:rsid w:val="000A3D40"/>
    <w:rsid w:val="000A7BCD"/>
    <w:rsid w:val="000A7EB0"/>
    <w:rsid w:val="000B2B89"/>
    <w:rsid w:val="000B40CD"/>
    <w:rsid w:val="000B4461"/>
    <w:rsid w:val="000B4809"/>
    <w:rsid w:val="000B6E95"/>
    <w:rsid w:val="000B716B"/>
    <w:rsid w:val="000C10FB"/>
    <w:rsid w:val="000C50F7"/>
    <w:rsid w:val="000D0690"/>
    <w:rsid w:val="000D69BE"/>
    <w:rsid w:val="000E591B"/>
    <w:rsid w:val="000F2384"/>
    <w:rsid w:val="000F7D88"/>
    <w:rsid w:val="001022DB"/>
    <w:rsid w:val="001115A5"/>
    <w:rsid w:val="00126905"/>
    <w:rsid w:val="00127E7D"/>
    <w:rsid w:val="00137BE5"/>
    <w:rsid w:val="00141FEC"/>
    <w:rsid w:val="00147462"/>
    <w:rsid w:val="00151A98"/>
    <w:rsid w:val="00163FE5"/>
    <w:rsid w:val="00166113"/>
    <w:rsid w:val="0017128B"/>
    <w:rsid w:val="00175898"/>
    <w:rsid w:val="001854CA"/>
    <w:rsid w:val="00187389"/>
    <w:rsid w:val="0019416E"/>
    <w:rsid w:val="001A1337"/>
    <w:rsid w:val="001A1618"/>
    <w:rsid w:val="001A3188"/>
    <w:rsid w:val="001A6656"/>
    <w:rsid w:val="001B055A"/>
    <w:rsid w:val="001B19C3"/>
    <w:rsid w:val="001B6100"/>
    <w:rsid w:val="001C4AF1"/>
    <w:rsid w:val="001D009B"/>
    <w:rsid w:val="001D50AF"/>
    <w:rsid w:val="001D690C"/>
    <w:rsid w:val="001D7A2B"/>
    <w:rsid w:val="001E0BB0"/>
    <w:rsid w:val="001E19CF"/>
    <w:rsid w:val="001E4712"/>
    <w:rsid w:val="001F623A"/>
    <w:rsid w:val="0020121A"/>
    <w:rsid w:val="00204733"/>
    <w:rsid w:val="002053C1"/>
    <w:rsid w:val="002059DD"/>
    <w:rsid w:val="00211507"/>
    <w:rsid w:val="002116AC"/>
    <w:rsid w:val="00213183"/>
    <w:rsid w:val="00213347"/>
    <w:rsid w:val="00216DB9"/>
    <w:rsid w:val="002175AB"/>
    <w:rsid w:val="00225F63"/>
    <w:rsid w:val="002265EE"/>
    <w:rsid w:val="002337A2"/>
    <w:rsid w:val="002408E7"/>
    <w:rsid w:val="00241CB7"/>
    <w:rsid w:val="00241D9D"/>
    <w:rsid w:val="002434D3"/>
    <w:rsid w:val="00262F35"/>
    <w:rsid w:val="002639ED"/>
    <w:rsid w:val="002642E2"/>
    <w:rsid w:val="00265431"/>
    <w:rsid w:val="00276004"/>
    <w:rsid w:val="00280592"/>
    <w:rsid w:val="002833EE"/>
    <w:rsid w:val="00284673"/>
    <w:rsid w:val="00285958"/>
    <w:rsid w:val="002869A4"/>
    <w:rsid w:val="002904ED"/>
    <w:rsid w:val="00290C41"/>
    <w:rsid w:val="002936B0"/>
    <w:rsid w:val="00297527"/>
    <w:rsid w:val="002A7A64"/>
    <w:rsid w:val="002B64AE"/>
    <w:rsid w:val="002B790B"/>
    <w:rsid w:val="002D04FF"/>
    <w:rsid w:val="002D59D1"/>
    <w:rsid w:val="002D68E5"/>
    <w:rsid w:val="002E0D49"/>
    <w:rsid w:val="002E16D1"/>
    <w:rsid w:val="002E237C"/>
    <w:rsid w:val="002F5942"/>
    <w:rsid w:val="002F5CEB"/>
    <w:rsid w:val="002F60E7"/>
    <w:rsid w:val="002F70E8"/>
    <w:rsid w:val="003056CF"/>
    <w:rsid w:val="0030644D"/>
    <w:rsid w:val="003067FD"/>
    <w:rsid w:val="0032305F"/>
    <w:rsid w:val="0032389F"/>
    <w:rsid w:val="00332329"/>
    <w:rsid w:val="00333836"/>
    <w:rsid w:val="003353DD"/>
    <w:rsid w:val="00351A28"/>
    <w:rsid w:val="00356AE3"/>
    <w:rsid w:val="0036027A"/>
    <w:rsid w:val="003647ED"/>
    <w:rsid w:val="00366144"/>
    <w:rsid w:val="0037678F"/>
    <w:rsid w:val="003867CF"/>
    <w:rsid w:val="00387488"/>
    <w:rsid w:val="003910AD"/>
    <w:rsid w:val="0039274F"/>
    <w:rsid w:val="003A1A7D"/>
    <w:rsid w:val="003A6BAB"/>
    <w:rsid w:val="003B4DBF"/>
    <w:rsid w:val="003C15A0"/>
    <w:rsid w:val="003C688D"/>
    <w:rsid w:val="003D127C"/>
    <w:rsid w:val="003D1419"/>
    <w:rsid w:val="003D3153"/>
    <w:rsid w:val="003D7425"/>
    <w:rsid w:val="003E0ACC"/>
    <w:rsid w:val="003F1279"/>
    <w:rsid w:val="003F4E13"/>
    <w:rsid w:val="003F4FC1"/>
    <w:rsid w:val="003F5F57"/>
    <w:rsid w:val="0040092E"/>
    <w:rsid w:val="00401231"/>
    <w:rsid w:val="00406401"/>
    <w:rsid w:val="00406E37"/>
    <w:rsid w:val="00407C0E"/>
    <w:rsid w:val="004114F9"/>
    <w:rsid w:val="00415575"/>
    <w:rsid w:val="00416730"/>
    <w:rsid w:val="004220E4"/>
    <w:rsid w:val="00431FA6"/>
    <w:rsid w:val="00442A92"/>
    <w:rsid w:val="00443EFA"/>
    <w:rsid w:val="004515C5"/>
    <w:rsid w:val="00451AD8"/>
    <w:rsid w:val="00466841"/>
    <w:rsid w:val="00466B92"/>
    <w:rsid w:val="00466F92"/>
    <w:rsid w:val="00474EBA"/>
    <w:rsid w:val="00487AFE"/>
    <w:rsid w:val="00490901"/>
    <w:rsid w:val="00491294"/>
    <w:rsid w:val="004A154B"/>
    <w:rsid w:val="004A59BE"/>
    <w:rsid w:val="004B114C"/>
    <w:rsid w:val="004C0463"/>
    <w:rsid w:val="004C1711"/>
    <w:rsid w:val="004C5ED0"/>
    <w:rsid w:val="004C6B14"/>
    <w:rsid w:val="004D1A27"/>
    <w:rsid w:val="004D2E3D"/>
    <w:rsid w:val="004D40CA"/>
    <w:rsid w:val="004E53D1"/>
    <w:rsid w:val="004E5771"/>
    <w:rsid w:val="004F06BF"/>
    <w:rsid w:val="004F725B"/>
    <w:rsid w:val="005012D6"/>
    <w:rsid w:val="0050145A"/>
    <w:rsid w:val="00507C10"/>
    <w:rsid w:val="00510A2F"/>
    <w:rsid w:val="00511EC6"/>
    <w:rsid w:val="00516813"/>
    <w:rsid w:val="00516F93"/>
    <w:rsid w:val="00524ECA"/>
    <w:rsid w:val="00525290"/>
    <w:rsid w:val="00543950"/>
    <w:rsid w:val="00544190"/>
    <w:rsid w:val="0054452D"/>
    <w:rsid w:val="00551FED"/>
    <w:rsid w:val="00554380"/>
    <w:rsid w:val="0055465A"/>
    <w:rsid w:val="00555861"/>
    <w:rsid w:val="00555D8B"/>
    <w:rsid w:val="00561E4F"/>
    <w:rsid w:val="00567348"/>
    <w:rsid w:val="00573554"/>
    <w:rsid w:val="005809D2"/>
    <w:rsid w:val="00582EC7"/>
    <w:rsid w:val="005957C6"/>
    <w:rsid w:val="00596FDC"/>
    <w:rsid w:val="0059754F"/>
    <w:rsid w:val="00597B0E"/>
    <w:rsid w:val="005A3452"/>
    <w:rsid w:val="005A7831"/>
    <w:rsid w:val="005B01BD"/>
    <w:rsid w:val="005B0C94"/>
    <w:rsid w:val="005B1564"/>
    <w:rsid w:val="005B33CD"/>
    <w:rsid w:val="005B4603"/>
    <w:rsid w:val="005C04A9"/>
    <w:rsid w:val="005C75F4"/>
    <w:rsid w:val="005D1AFD"/>
    <w:rsid w:val="005D401D"/>
    <w:rsid w:val="005E0425"/>
    <w:rsid w:val="005E2592"/>
    <w:rsid w:val="005F3D9A"/>
    <w:rsid w:val="00601E78"/>
    <w:rsid w:val="00611C10"/>
    <w:rsid w:val="00613876"/>
    <w:rsid w:val="00614B44"/>
    <w:rsid w:val="00615758"/>
    <w:rsid w:val="00620E44"/>
    <w:rsid w:val="00623CCF"/>
    <w:rsid w:val="0063070E"/>
    <w:rsid w:val="00634FE0"/>
    <w:rsid w:val="006357CD"/>
    <w:rsid w:val="00643635"/>
    <w:rsid w:val="00655367"/>
    <w:rsid w:val="00655742"/>
    <w:rsid w:val="00655B94"/>
    <w:rsid w:val="00657C19"/>
    <w:rsid w:val="00657ED3"/>
    <w:rsid w:val="0067727C"/>
    <w:rsid w:val="006952DD"/>
    <w:rsid w:val="006A5B2E"/>
    <w:rsid w:val="006B69B6"/>
    <w:rsid w:val="006C0311"/>
    <w:rsid w:val="006C0AA1"/>
    <w:rsid w:val="006C45EC"/>
    <w:rsid w:val="006C53A7"/>
    <w:rsid w:val="006D3A0A"/>
    <w:rsid w:val="006D3BEF"/>
    <w:rsid w:val="006D642E"/>
    <w:rsid w:val="006E2A68"/>
    <w:rsid w:val="006E4BF8"/>
    <w:rsid w:val="006F125B"/>
    <w:rsid w:val="006F1489"/>
    <w:rsid w:val="006F54AF"/>
    <w:rsid w:val="006F5AF0"/>
    <w:rsid w:val="006F703D"/>
    <w:rsid w:val="0071022B"/>
    <w:rsid w:val="007124F0"/>
    <w:rsid w:val="007129EF"/>
    <w:rsid w:val="00716515"/>
    <w:rsid w:val="00717607"/>
    <w:rsid w:val="00717B3E"/>
    <w:rsid w:val="0072104F"/>
    <w:rsid w:val="00721872"/>
    <w:rsid w:val="00723261"/>
    <w:rsid w:val="0072474A"/>
    <w:rsid w:val="00732C65"/>
    <w:rsid w:val="00734653"/>
    <w:rsid w:val="00734D53"/>
    <w:rsid w:val="00737D06"/>
    <w:rsid w:val="007430A0"/>
    <w:rsid w:val="0074446B"/>
    <w:rsid w:val="00744801"/>
    <w:rsid w:val="00750D6E"/>
    <w:rsid w:val="0075270D"/>
    <w:rsid w:val="00760221"/>
    <w:rsid w:val="0076277D"/>
    <w:rsid w:val="007707B2"/>
    <w:rsid w:val="00776B36"/>
    <w:rsid w:val="00782202"/>
    <w:rsid w:val="00782D51"/>
    <w:rsid w:val="0078502E"/>
    <w:rsid w:val="00785497"/>
    <w:rsid w:val="00785F2B"/>
    <w:rsid w:val="0078607D"/>
    <w:rsid w:val="00790F08"/>
    <w:rsid w:val="00791184"/>
    <w:rsid w:val="00796039"/>
    <w:rsid w:val="00797C5A"/>
    <w:rsid w:val="007A3F94"/>
    <w:rsid w:val="007A4573"/>
    <w:rsid w:val="007B45DF"/>
    <w:rsid w:val="007B522D"/>
    <w:rsid w:val="007C1BAD"/>
    <w:rsid w:val="007C2F31"/>
    <w:rsid w:val="007D3E45"/>
    <w:rsid w:val="007E74AD"/>
    <w:rsid w:val="007F7F0E"/>
    <w:rsid w:val="00812210"/>
    <w:rsid w:val="00821564"/>
    <w:rsid w:val="0082189A"/>
    <w:rsid w:val="00824DF8"/>
    <w:rsid w:val="008256B1"/>
    <w:rsid w:val="00826574"/>
    <w:rsid w:val="0083357B"/>
    <w:rsid w:val="00837577"/>
    <w:rsid w:val="008401AE"/>
    <w:rsid w:val="008407E4"/>
    <w:rsid w:val="00844493"/>
    <w:rsid w:val="00844527"/>
    <w:rsid w:val="00845F50"/>
    <w:rsid w:val="0085177E"/>
    <w:rsid w:val="00852EC7"/>
    <w:rsid w:val="00853A67"/>
    <w:rsid w:val="00854792"/>
    <w:rsid w:val="008602C1"/>
    <w:rsid w:val="008631B4"/>
    <w:rsid w:val="008640C2"/>
    <w:rsid w:val="00872987"/>
    <w:rsid w:val="00872FEE"/>
    <w:rsid w:val="008732C8"/>
    <w:rsid w:val="0088345B"/>
    <w:rsid w:val="00885354"/>
    <w:rsid w:val="00886332"/>
    <w:rsid w:val="008936B8"/>
    <w:rsid w:val="00896569"/>
    <w:rsid w:val="00896F13"/>
    <w:rsid w:val="008A10E5"/>
    <w:rsid w:val="008A2B64"/>
    <w:rsid w:val="008B61F9"/>
    <w:rsid w:val="008C4686"/>
    <w:rsid w:val="008C5132"/>
    <w:rsid w:val="008C5621"/>
    <w:rsid w:val="008D0634"/>
    <w:rsid w:val="008E1F56"/>
    <w:rsid w:val="008E2C4C"/>
    <w:rsid w:val="008F09DD"/>
    <w:rsid w:val="008F37CF"/>
    <w:rsid w:val="008F3E85"/>
    <w:rsid w:val="008F4D56"/>
    <w:rsid w:val="008F6233"/>
    <w:rsid w:val="008F6C3B"/>
    <w:rsid w:val="0091389B"/>
    <w:rsid w:val="00920575"/>
    <w:rsid w:val="00935777"/>
    <w:rsid w:val="00950822"/>
    <w:rsid w:val="009533D1"/>
    <w:rsid w:val="00956A3E"/>
    <w:rsid w:val="00957A2D"/>
    <w:rsid w:val="00962233"/>
    <w:rsid w:val="0096771D"/>
    <w:rsid w:val="00975887"/>
    <w:rsid w:val="00975F38"/>
    <w:rsid w:val="009807BE"/>
    <w:rsid w:val="00987E2C"/>
    <w:rsid w:val="009949B9"/>
    <w:rsid w:val="00996E1D"/>
    <w:rsid w:val="009A0EAE"/>
    <w:rsid w:val="009A1095"/>
    <w:rsid w:val="009A2CB0"/>
    <w:rsid w:val="009A59E2"/>
    <w:rsid w:val="009B6689"/>
    <w:rsid w:val="009D2930"/>
    <w:rsid w:val="009D319D"/>
    <w:rsid w:val="009E1E01"/>
    <w:rsid w:val="009E4725"/>
    <w:rsid w:val="009E5A24"/>
    <w:rsid w:val="009E5CEF"/>
    <w:rsid w:val="009E60E7"/>
    <w:rsid w:val="009F5897"/>
    <w:rsid w:val="009F7713"/>
    <w:rsid w:val="00A01F9F"/>
    <w:rsid w:val="00A0217B"/>
    <w:rsid w:val="00A30AB5"/>
    <w:rsid w:val="00A35C42"/>
    <w:rsid w:val="00A60431"/>
    <w:rsid w:val="00A60912"/>
    <w:rsid w:val="00A6250A"/>
    <w:rsid w:val="00A657F8"/>
    <w:rsid w:val="00A65ECA"/>
    <w:rsid w:val="00A66642"/>
    <w:rsid w:val="00A72CA1"/>
    <w:rsid w:val="00A7537E"/>
    <w:rsid w:val="00A83A23"/>
    <w:rsid w:val="00A8739A"/>
    <w:rsid w:val="00A900AC"/>
    <w:rsid w:val="00A93E4C"/>
    <w:rsid w:val="00A94268"/>
    <w:rsid w:val="00A96156"/>
    <w:rsid w:val="00AB104E"/>
    <w:rsid w:val="00AB1C45"/>
    <w:rsid w:val="00AB47E4"/>
    <w:rsid w:val="00AB5CFF"/>
    <w:rsid w:val="00AC24D5"/>
    <w:rsid w:val="00AC51D1"/>
    <w:rsid w:val="00AC6250"/>
    <w:rsid w:val="00AD2C59"/>
    <w:rsid w:val="00AD5941"/>
    <w:rsid w:val="00AD7904"/>
    <w:rsid w:val="00B01B7F"/>
    <w:rsid w:val="00B04F80"/>
    <w:rsid w:val="00B05BBE"/>
    <w:rsid w:val="00B11731"/>
    <w:rsid w:val="00B128E3"/>
    <w:rsid w:val="00B14D46"/>
    <w:rsid w:val="00B202EC"/>
    <w:rsid w:val="00B21A46"/>
    <w:rsid w:val="00B25705"/>
    <w:rsid w:val="00B41F6C"/>
    <w:rsid w:val="00B46A6E"/>
    <w:rsid w:val="00B52EA5"/>
    <w:rsid w:val="00B576E3"/>
    <w:rsid w:val="00B646C1"/>
    <w:rsid w:val="00B65530"/>
    <w:rsid w:val="00B73269"/>
    <w:rsid w:val="00B76D50"/>
    <w:rsid w:val="00B82D1B"/>
    <w:rsid w:val="00B82E26"/>
    <w:rsid w:val="00B8654F"/>
    <w:rsid w:val="00B87D40"/>
    <w:rsid w:val="00B92D47"/>
    <w:rsid w:val="00BA687E"/>
    <w:rsid w:val="00BB0EF1"/>
    <w:rsid w:val="00BE23DC"/>
    <w:rsid w:val="00BE2871"/>
    <w:rsid w:val="00BE71CD"/>
    <w:rsid w:val="00BF0FDA"/>
    <w:rsid w:val="00BF302C"/>
    <w:rsid w:val="00C0068F"/>
    <w:rsid w:val="00C04AFB"/>
    <w:rsid w:val="00C13036"/>
    <w:rsid w:val="00C2181B"/>
    <w:rsid w:val="00C23133"/>
    <w:rsid w:val="00C24A59"/>
    <w:rsid w:val="00C34C70"/>
    <w:rsid w:val="00C46008"/>
    <w:rsid w:val="00C51A07"/>
    <w:rsid w:val="00C54391"/>
    <w:rsid w:val="00C5643C"/>
    <w:rsid w:val="00C5693C"/>
    <w:rsid w:val="00C57F98"/>
    <w:rsid w:val="00C64190"/>
    <w:rsid w:val="00C70044"/>
    <w:rsid w:val="00C764AA"/>
    <w:rsid w:val="00C76B3A"/>
    <w:rsid w:val="00C84F31"/>
    <w:rsid w:val="00C91DFB"/>
    <w:rsid w:val="00C93D44"/>
    <w:rsid w:val="00C93ED8"/>
    <w:rsid w:val="00C941BD"/>
    <w:rsid w:val="00CA34A3"/>
    <w:rsid w:val="00CA79A7"/>
    <w:rsid w:val="00CB199E"/>
    <w:rsid w:val="00CB1AD2"/>
    <w:rsid w:val="00CC57C7"/>
    <w:rsid w:val="00CC6856"/>
    <w:rsid w:val="00CD0C29"/>
    <w:rsid w:val="00CD5520"/>
    <w:rsid w:val="00CF1698"/>
    <w:rsid w:val="00CF2E24"/>
    <w:rsid w:val="00CF66A7"/>
    <w:rsid w:val="00D00943"/>
    <w:rsid w:val="00D03E19"/>
    <w:rsid w:val="00D060DD"/>
    <w:rsid w:val="00D061DE"/>
    <w:rsid w:val="00D1368B"/>
    <w:rsid w:val="00D15906"/>
    <w:rsid w:val="00D2475F"/>
    <w:rsid w:val="00D361FF"/>
    <w:rsid w:val="00D37900"/>
    <w:rsid w:val="00D41CBC"/>
    <w:rsid w:val="00D469A8"/>
    <w:rsid w:val="00D46CDE"/>
    <w:rsid w:val="00D527E1"/>
    <w:rsid w:val="00D67374"/>
    <w:rsid w:val="00D70FCF"/>
    <w:rsid w:val="00D72AAF"/>
    <w:rsid w:val="00D756FC"/>
    <w:rsid w:val="00D77748"/>
    <w:rsid w:val="00D86516"/>
    <w:rsid w:val="00D9116C"/>
    <w:rsid w:val="00D91D4B"/>
    <w:rsid w:val="00D97925"/>
    <w:rsid w:val="00DA46CC"/>
    <w:rsid w:val="00DA5E64"/>
    <w:rsid w:val="00DA610F"/>
    <w:rsid w:val="00DB0F2D"/>
    <w:rsid w:val="00DB1988"/>
    <w:rsid w:val="00DB567F"/>
    <w:rsid w:val="00DC37B1"/>
    <w:rsid w:val="00DC7623"/>
    <w:rsid w:val="00DD2898"/>
    <w:rsid w:val="00DE3D84"/>
    <w:rsid w:val="00DF63C4"/>
    <w:rsid w:val="00DF6A24"/>
    <w:rsid w:val="00DF7348"/>
    <w:rsid w:val="00E0215B"/>
    <w:rsid w:val="00E04980"/>
    <w:rsid w:val="00E13C8D"/>
    <w:rsid w:val="00E1488F"/>
    <w:rsid w:val="00E24E8D"/>
    <w:rsid w:val="00E30800"/>
    <w:rsid w:val="00E35DB2"/>
    <w:rsid w:val="00E41393"/>
    <w:rsid w:val="00E41B35"/>
    <w:rsid w:val="00E4390E"/>
    <w:rsid w:val="00E45E3E"/>
    <w:rsid w:val="00E51AB5"/>
    <w:rsid w:val="00E5354E"/>
    <w:rsid w:val="00E555E0"/>
    <w:rsid w:val="00E55CDD"/>
    <w:rsid w:val="00E80ED2"/>
    <w:rsid w:val="00E811CC"/>
    <w:rsid w:val="00E90CF8"/>
    <w:rsid w:val="00E91EE5"/>
    <w:rsid w:val="00E927AB"/>
    <w:rsid w:val="00E97604"/>
    <w:rsid w:val="00EA2C66"/>
    <w:rsid w:val="00EC10E7"/>
    <w:rsid w:val="00EC6C53"/>
    <w:rsid w:val="00ED2F03"/>
    <w:rsid w:val="00ED76B9"/>
    <w:rsid w:val="00EE640B"/>
    <w:rsid w:val="00EF1E2D"/>
    <w:rsid w:val="00F02477"/>
    <w:rsid w:val="00F03E34"/>
    <w:rsid w:val="00F04050"/>
    <w:rsid w:val="00F3057F"/>
    <w:rsid w:val="00F335D3"/>
    <w:rsid w:val="00F3525F"/>
    <w:rsid w:val="00F36293"/>
    <w:rsid w:val="00F4170E"/>
    <w:rsid w:val="00F43513"/>
    <w:rsid w:val="00F444B3"/>
    <w:rsid w:val="00F46081"/>
    <w:rsid w:val="00F52AD0"/>
    <w:rsid w:val="00F5387D"/>
    <w:rsid w:val="00F5467C"/>
    <w:rsid w:val="00F55A95"/>
    <w:rsid w:val="00F55EA0"/>
    <w:rsid w:val="00F7725A"/>
    <w:rsid w:val="00F83E70"/>
    <w:rsid w:val="00F84944"/>
    <w:rsid w:val="00F900B1"/>
    <w:rsid w:val="00F92264"/>
    <w:rsid w:val="00FA409B"/>
    <w:rsid w:val="00FB04DB"/>
    <w:rsid w:val="00FB6D11"/>
    <w:rsid w:val="00FC0E48"/>
    <w:rsid w:val="00FC1B8B"/>
    <w:rsid w:val="00FC26FE"/>
    <w:rsid w:val="00FC2788"/>
    <w:rsid w:val="00FC6F08"/>
    <w:rsid w:val="00FD14CA"/>
    <w:rsid w:val="00FD4A39"/>
    <w:rsid w:val="00FE02D0"/>
    <w:rsid w:val="00FE75C8"/>
    <w:rsid w:val="00FF5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04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C4AF1"/>
    <w:rPr>
      <w:rFonts w:cs="Times New Roman"/>
      <w:color w:val="0000FF"/>
      <w:u w:val="single"/>
    </w:rPr>
  </w:style>
  <w:style w:type="paragraph" w:customStyle="1" w:styleId="Default">
    <w:name w:val="Default"/>
    <w:rsid w:val="00837577"/>
    <w:pPr>
      <w:autoSpaceDE w:val="0"/>
      <w:autoSpaceDN w:val="0"/>
      <w:adjustRightInd w:val="0"/>
    </w:pPr>
    <w:rPr>
      <w:rFonts w:ascii="Calibri" w:hAnsi="Calibri" w:cs="Calibri"/>
      <w:color w:val="000000"/>
      <w:sz w:val="24"/>
      <w:szCs w:val="24"/>
    </w:rPr>
  </w:style>
  <w:style w:type="paragraph" w:styleId="FootnoteText">
    <w:name w:val="footnote text"/>
    <w:basedOn w:val="Normal"/>
    <w:semiHidden/>
    <w:rsid w:val="0030644D"/>
    <w:rPr>
      <w:sz w:val="20"/>
      <w:szCs w:val="20"/>
    </w:rPr>
  </w:style>
  <w:style w:type="character" w:styleId="FootnoteReference">
    <w:name w:val="footnote reference"/>
    <w:basedOn w:val="DefaultParagraphFont"/>
    <w:semiHidden/>
    <w:rsid w:val="0030644D"/>
    <w:rPr>
      <w:rFonts w:cs="Times New Roman"/>
      <w:vertAlign w:val="superscript"/>
    </w:rPr>
  </w:style>
  <w:style w:type="table" w:styleId="TableGrid">
    <w:name w:val="Table Grid"/>
    <w:basedOn w:val="TableNormal"/>
    <w:rsid w:val="000B4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8F6C3B"/>
    <w:pPr>
      <w:tabs>
        <w:tab w:val="center" w:pos="4320"/>
        <w:tab w:val="right" w:pos="8640"/>
      </w:tabs>
    </w:pPr>
  </w:style>
  <w:style w:type="character" w:styleId="PageNumber">
    <w:name w:val="page number"/>
    <w:basedOn w:val="DefaultParagraphFont"/>
    <w:rsid w:val="008F6C3B"/>
    <w:rPr>
      <w:rFonts w:cs="Times New Roman"/>
    </w:rPr>
  </w:style>
  <w:style w:type="paragraph" w:styleId="BalloonText">
    <w:name w:val="Balloon Text"/>
    <w:basedOn w:val="Normal"/>
    <w:semiHidden/>
    <w:rsid w:val="00957A2D"/>
    <w:rPr>
      <w:rFonts w:ascii="Tahoma" w:hAnsi="Tahoma" w:cs="Tahoma"/>
      <w:sz w:val="16"/>
      <w:szCs w:val="16"/>
    </w:rPr>
  </w:style>
  <w:style w:type="paragraph" w:styleId="NormalWeb">
    <w:name w:val="Normal (Web)"/>
    <w:basedOn w:val="Normal"/>
    <w:rsid w:val="00920575"/>
    <w:pPr>
      <w:spacing w:before="100" w:beforeAutospacing="1" w:after="100" w:afterAutospacing="1"/>
    </w:pPr>
  </w:style>
  <w:style w:type="character" w:styleId="Strong">
    <w:name w:val="Strong"/>
    <w:basedOn w:val="DefaultParagraphFont"/>
    <w:qFormat/>
    <w:rsid w:val="00920575"/>
    <w:rPr>
      <w:rFonts w:cs="Times New Roman"/>
      <w:b/>
      <w:bCs/>
    </w:rPr>
  </w:style>
  <w:style w:type="character" w:styleId="Emphasis">
    <w:name w:val="Emphasis"/>
    <w:basedOn w:val="DefaultParagraphFont"/>
    <w:qFormat/>
    <w:rsid w:val="004E53D1"/>
    <w:rPr>
      <w:rFonts w:cs="Times New Roman"/>
      <w:b/>
      <w:bCs/>
    </w:rPr>
  </w:style>
  <w:style w:type="character" w:customStyle="1" w:styleId="ipa1">
    <w:name w:val="ipa1"/>
    <w:basedOn w:val="DefaultParagraphFont"/>
    <w:rsid w:val="007707B2"/>
    <w:rPr>
      <w:rFonts w:ascii="Arial Unicode MS" w:eastAsia="Arial Unicode MS" w:hAnsi="Arial Unicode MS" w:cs="Arial Unicode MS"/>
    </w:rPr>
  </w:style>
  <w:style w:type="character" w:styleId="CommentReference">
    <w:name w:val="annotation reference"/>
    <w:basedOn w:val="DefaultParagraphFont"/>
    <w:semiHidden/>
    <w:rsid w:val="00AD2C59"/>
    <w:rPr>
      <w:rFonts w:cs="Times New Roman"/>
      <w:sz w:val="16"/>
      <w:szCs w:val="16"/>
    </w:rPr>
  </w:style>
  <w:style w:type="paragraph" w:styleId="CommentText">
    <w:name w:val="annotation text"/>
    <w:basedOn w:val="Normal"/>
    <w:link w:val="CommentTextChar"/>
    <w:semiHidden/>
    <w:rsid w:val="00AD2C59"/>
    <w:rPr>
      <w:sz w:val="20"/>
      <w:szCs w:val="20"/>
    </w:rPr>
  </w:style>
  <w:style w:type="character" w:customStyle="1" w:styleId="CommentTextChar">
    <w:name w:val="Comment Text Char"/>
    <w:basedOn w:val="DefaultParagraphFont"/>
    <w:link w:val="CommentText"/>
    <w:locked/>
    <w:rsid w:val="00AD2C59"/>
    <w:rPr>
      <w:rFonts w:cs="Times New Roman"/>
    </w:rPr>
  </w:style>
  <w:style w:type="paragraph" w:styleId="CommentSubject">
    <w:name w:val="annotation subject"/>
    <w:basedOn w:val="CommentText"/>
    <w:next w:val="CommentText"/>
    <w:link w:val="CommentSubjectChar"/>
    <w:semiHidden/>
    <w:rsid w:val="00AD2C59"/>
    <w:rPr>
      <w:b/>
      <w:bCs/>
    </w:rPr>
  </w:style>
  <w:style w:type="character" w:customStyle="1" w:styleId="CommentSubjectChar">
    <w:name w:val="Comment Subject Char"/>
    <w:basedOn w:val="CommentTextChar"/>
    <w:link w:val="CommentSubject"/>
    <w:locked/>
    <w:rsid w:val="00AD2C59"/>
    <w:rPr>
      <w:b/>
      <w:b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9.bin"/><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5.wmf"/><Relationship Id="rId68" Type="http://schemas.openxmlformats.org/officeDocument/2006/relationships/oleObject" Target="embeddings/oleObject31.bin"/><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image" Target="media/image45.wmf"/><Relationship Id="rId16" Type="http://schemas.openxmlformats.org/officeDocument/2006/relationships/image" Target="media/image3.wmf"/><Relationship Id="rId107" Type="http://schemas.openxmlformats.org/officeDocument/2006/relationships/oleObject" Target="embeddings/oleObject54.bin"/><Relationship Id="rId11" Type="http://schemas.openxmlformats.org/officeDocument/2006/relationships/hyperlink" Target="http://en.wikipedia.org/wiki/Income"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image" Target="media/image40.wmf"/><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37.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oleObject" Target="embeddings/oleObject38.bin"/><Relationship Id="rId100" Type="http://schemas.openxmlformats.org/officeDocument/2006/relationships/image" Target="media/image39.wmf"/><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hyperlink" Target="http://ideas.repec.org/a/eee/moneco/v25y1990i1p21-42.html" TargetMode="External"/><Relationship Id="rId126" Type="http://schemas.openxmlformats.org/officeDocument/2006/relationships/theme" Target="theme/theme1.xml"/><Relationship Id="rId8" Type="http://schemas.openxmlformats.org/officeDocument/2006/relationships/hyperlink" Target="mailto:amello@bus.wisc.edu" TargetMode="External"/><Relationship Id="rId51" Type="http://schemas.openxmlformats.org/officeDocument/2006/relationships/oleObject" Target="embeddings/oleObject20.bin"/><Relationship Id="rId72" Type="http://schemas.openxmlformats.org/officeDocument/2006/relationships/oleObject" Target="embeddings/oleObject34.bin"/><Relationship Id="rId80" Type="http://schemas.openxmlformats.org/officeDocument/2006/relationships/image" Target="media/image30.wmf"/><Relationship Id="rId85" Type="http://schemas.openxmlformats.org/officeDocument/2006/relationships/image" Target="media/image32.wmf"/><Relationship Id="rId93" Type="http://schemas.openxmlformats.org/officeDocument/2006/relationships/image" Target="media/image36.wmf"/><Relationship Id="rId98" Type="http://schemas.openxmlformats.org/officeDocument/2006/relationships/image" Target="media/image38.wmf"/><Relationship Id="rId121" Type="http://schemas.openxmlformats.org/officeDocument/2006/relationships/hyperlink" Target="http://ideas.repec.org/s/ecj/econjl.html" TargetMode="External"/><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image" Target="media/image43.wmf"/><Relationship Id="rId116" Type="http://schemas.openxmlformats.org/officeDocument/2006/relationships/image" Target="media/image47.wmf"/><Relationship Id="rId124"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image" Target="media/image31.wmf"/><Relationship Id="rId88" Type="http://schemas.openxmlformats.org/officeDocument/2006/relationships/oleObject" Target="embeddings/oleObject44.bin"/><Relationship Id="rId91" Type="http://schemas.openxmlformats.org/officeDocument/2006/relationships/image" Target="media/image35.wmf"/><Relationship Id="rId96" Type="http://schemas.openxmlformats.org/officeDocument/2006/relationships/oleObject" Target="embeddings/oleObject48.bin"/><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2.wmf"/><Relationship Id="rId114" Type="http://schemas.openxmlformats.org/officeDocument/2006/relationships/image" Target="media/image46.wmf"/><Relationship Id="rId119" Type="http://schemas.openxmlformats.org/officeDocument/2006/relationships/hyperlink" Target="http://ideas.repec.org/s/eee/moneco.html" TargetMode="External"/><Relationship Id="rId10" Type="http://schemas.openxmlformats.org/officeDocument/2006/relationships/hyperlink" Target="http://en.wikipedia.org/wiki/Real_estate" TargetMode="Externa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image" Target="media/image28.wmf"/><Relationship Id="rId78"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hyperlink" Target="http://ireserach.worldbank.org/ics/jsp/index.jsp" TargetMode="External"/><Relationship Id="rId4" Type="http://schemas.openxmlformats.org/officeDocument/2006/relationships/webSettings" Target="webSettings.xml"/><Relationship Id="rId9" Type="http://schemas.openxmlformats.org/officeDocument/2006/relationships/hyperlink" Target="mailto:triddiough@bus.wisc.edu"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1.wmf"/><Relationship Id="rId120" Type="http://schemas.openxmlformats.org/officeDocument/2006/relationships/hyperlink" Target="http://ideas.repec.org/a/ecj/econjl/v101y1991i406p458-72.html" TargetMode="External"/><Relationship Id="rId125" Type="http://schemas.openxmlformats.org/officeDocument/2006/relationships/fontTable" Target="fontTable.xml"/><Relationship Id="rId7" Type="http://schemas.openxmlformats.org/officeDocument/2006/relationships/hyperlink" Target="mailto:e.giambona@uva.nl" TargetMode="External"/><Relationship Id="rId71" Type="http://schemas.openxmlformats.org/officeDocument/2006/relationships/oleObject" Target="embeddings/oleObject33.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image" Target="media/image44.wmf"/><Relationship Id="rId115" Type="http://schemas.openxmlformats.org/officeDocument/2006/relationships/oleObject" Target="embeddings/oleObject58.bin"/></Relationships>
</file>

<file path=word/_rels/footnotes.xml.rels><?xml version="1.0" encoding="UTF-8" standalone="yes"?>
<Relationships xmlns="http://schemas.openxmlformats.org/package/2006/relationships"><Relationship Id="rId1" Type="http://schemas.openxmlformats.org/officeDocument/2006/relationships/hyperlink" Target="http://ireserach.worldbank.org/ics/jsp/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13514</Words>
  <Characters>76454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The Joint Quantity-Type Financing Decision</vt:lpstr>
    </vt:vector>
  </TitlesOfParts>
  <Company> UW Madison School of Business</Company>
  <LinksUpToDate>false</LinksUpToDate>
  <CharactersWithSpaces>89789</CharactersWithSpaces>
  <SharedDoc>false</SharedDoc>
  <HLinks>
    <vt:vector size="66" baseType="variant">
      <vt:variant>
        <vt:i4>4653069</vt:i4>
      </vt:variant>
      <vt:variant>
        <vt:i4>204</vt:i4>
      </vt:variant>
      <vt:variant>
        <vt:i4>0</vt:i4>
      </vt:variant>
      <vt:variant>
        <vt:i4>5</vt:i4>
      </vt:variant>
      <vt:variant>
        <vt:lpwstr>http://ireserach.worldbank.org/ics/jsp/index.jsp</vt:lpwstr>
      </vt:variant>
      <vt:variant>
        <vt:lpwstr/>
      </vt:variant>
      <vt:variant>
        <vt:i4>1507414</vt:i4>
      </vt:variant>
      <vt:variant>
        <vt:i4>201</vt:i4>
      </vt:variant>
      <vt:variant>
        <vt:i4>0</vt:i4>
      </vt:variant>
      <vt:variant>
        <vt:i4>5</vt:i4>
      </vt:variant>
      <vt:variant>
        <vt:lpwstr>http://ideas.repec.org/s/ecj/econjl.html</vt:lpwstr>
      </vt:variant>
      <vt:variant>
        <vt:lpwstr/>
      </vt:variant>
      <vt:variant>
        <vt:i4>1179655</vt:i4>
      </vt:variant>
      <vt:variant>
        <vt:i4>198</vt:i4>
      </vt:variant>
      <vt:variant>
        <vt:i4>0</vt:i4>
      </vt:variant>
      <vt:variant>
        <vt:i4>5</vt:i4>
      </vt:variant>
      <vt:variant>
        <vt:lpwstr>http://ideas.repec.org/a/ecj/econjl/v101y1991i406p458-72.html</vt:lpwstr>
      </vt:variant>
      <vt:variant>
        <vt:lpwstr/>
      </vt:variant>
      <vt:variant>
        <vt:i4>1572948</vt:i4>
      </vt:variant>
      <vt:variant>
        <vt:i4>195</vt:i4>
      </vt:variant>
      <vt:variant>
        <vt:i4>0</vt:i4>
      </vt:variant>
      <vt:variant>
        <vt:i4>5</vt:i4>
      </vt:variant>
      <vt:variant>
        <vt:lpwstr>http://ideas.repec.org/s/eee/moneco.html</vt:lpwstr>
      </vt:variant>
      <vt:variant>
        <vt:lpwstr/>
      </vt:variant>
      <vt:variant>
        <vt:i4>4718684</vt:i4>
      </vt:variant>
      <vt:variant>
        <vt:i4>192</vt:i4>
      </vt:variant>
      <vt:variant>
        <vt:i4>0</vt:i4>
      </vt:variant>
      <vt:variant>
        <vt:i4>5</vt:i4>
      </vt:variant>
      <vt:variant>
        <vt:lpwstr>http://ideas.repec.org/a/eee/moneco/v25y1990i1p21-42.html</vt:lpwstr>
      </vt:variant>
      <vt:variant>
        <vt:lpwstr/>
      </vt:variant>
      <vt:variant>
        <vt:i4>7864372</vt:i4>
      </vt:variant>
      <vt:variant>
        <vt:i4>12</vt:i4>
      </vt:variant>
      <vt:variant>
        <vt:i4>0</vt:i4>
      </vt:variant>
      <vt:variant>
        <vt:i4>5</vt:i4>
      </vt:variant>
      <vt:variant>
        <vt:lpwstr>http://en.wikipedia.org/wiki/Income</vt:lpwstr>
      </vt:variant>
      <vt:variant>
        <vt:lpwstr/>
      </vt:variant>
      <vt:variant>
        <vt:i4>2359385</vt:i4>
      </vt:variant>
      <vt:variant>
        <vt:i4>9</vt:i4>
      </vt:variant>
      <vt:variant>
        <vt:i4>0</vt:i4>
      </vt:variant>
      <vt:variant>
        <vt:i4>5</vt:i4>
      </vt:variant>
      <vt:variant>
        <vt:lpwstr>http://en.wikipedia.org/wiki/Real_estate</vt:lpwstr>
      </vt:variant>
      <vt:variant>
        <vt:lpwstr/>
      </vt:variant>
      <vt:variant>
        <vt:i4>1179767</vt:i4>
      </vt:variant>
      <vt:variant>
        <vt:i4>6</vt:i4>
      </vt:variant>
      <vt:variant>
        <vt:i4>0</vt:i4>
      </vt:variant>
      <vt:variant>
        <vt:i4>5</vt:i4>
      </vt:variant>
      <vt:variant>
        <vt:lpwstr>mailto:triddiough@bus.wisc.edu</vt:lpwstr>
      </vt:variant>
      <vt:variant>
        <vt:lpwstr/>
      </vt:variant>
      <vt:variant>
        <vt:i4>721019</vt:i4>
      </vt:variant>
      <vt:variant>
        <vt:i4>3</vt:i4>
      </vt:variant>
      <vt:variant>
        <vt:i4>0</vt:i4>
      </vt:variant>
      <vt:variant>
        <vt:i4>5</vt:i4>
      </vt:variant>
      <vt:variant>
        <vt:lpwstr>mailto:amello@bus.wisc.edu</vt:lpwstr>
      </vt:variant>
      <vt:variant>
        <vt:lpwstr/>
      </vt:variant>
      <vt:variant>
        <vt:i4>7929876</vt:i4>
      </vt:variant>
      <vt:variant>
        <vt:i4>0</vt:i4>
      </vt:variant>
      <vt:variant>
        <vt:i4>0</vt:i4>
      </vt:variant>
      <vt:variant>
        <vt:i4>5</vt:i4>
      </vt:variant>
      <vt:variant>
        <vt:lpwstr>mailto:e.giambona@uva.nl</vt:lpwstr>
      </vt:variant>
      <vt:variant>
        <vt:lpwstr/>
      </vt:variant>
      <vt:variant>
        <vt:i4>4653069</vt:i4>
      </vt:variant>
      <vt:variant>
        <vt:i4>0</vt:i4>
      </vt:variant>
      <vt:variant>
        <vt:i4>0</vt:i4>
      </vt:variant>
      <vt:variant>
        <vt:i4>5</vt:i4>
      </vt:variant>
      <vt:variant>
        <vt:lpwstr>http://ireserach.worldbank.org/ics/jsp/index.jsp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Joint Quantity-Type Financing Decision</dc:title>
  <dc:subject/>
  <dc:creator>triddiough</dc:creator>
  <cp:keywords/>
  <dc:description/>
  <cp:lastModifiedBy>michelc</cp:lastModifiedBy>
  <cp:revision>2</cp:revision>
  <dcterms:created xsi:type="dcterms:W3CDTF">2010-04-01T14:36:00Z</dcterms:created>
  <dcterms:modified xsi:type="dcterms:W3CDTF">2010-04-01T14:36:00Z</dcterms:modified>
</cp:coreProperties>
</file>