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3Deffects3"/>
        <w:tblW w:w="0" w:type="auto"/>
        <w:tblBorders>
          <w:bottom w:val="single" w:sz="4" w:space="0" w:color="auto"/>
        </w:tblBorders>
        <w:tblLook w:val="04A0"/>
      </w:tblPr>
      <w:tblGrid>
        <w:gridCol w:w="4788"/>
        <w:gridCol w:w="4788"/>
      </w:tblGrid>
      <w:tr w:rsidR="003A49E7" w:rsidRPr="00E7104B" w:rsidTr="00544858">
        <w:trPr>
          <w:cnfStyle w:val="100000000000"/>
        </w:trPr>
        <w:tc>
          <w:tcPr>
            <w:cnfStyle w:val="001000000000"/>
            <w:tcW w:w="4788" w:type="dxa"/>
            <w:tcBorders>
              <w:right w:val="none" w:sz="0" w:space="0" w:color="auto"/>
            </w:tcBorders>
          </w:tcPr>
          <w:p w:rsidR="003A49E7" w:rsidRPr="00E7104B" w:rsidRDefault="003A49E7" w:rsidP="00544858">
            <w:pPr>
              <w:rPr>
                <w:b w:val="0"/>
              </w:rPr>
            </w:pPr>
            <w:r w:rsidRPr="00E7104B">
              <w:rPr>
                <w:b w:val="0"/>
              </w:rPr>
              <w:t>The Wharton School</w:t>
            </w:r>
          </w:p>
          <w:p w:rsidR="003A49E7" w:rsidRPr="00E7104B" w:rsidRDefault="003A49E7" w:rsidP="00544858">
            <w:pPr>
              <w:rPr>
                <w:b w:val="0"/>
              </w:rPr>
            </w:pPr>
            <w:r w:rsidRPr="00E7104B">
              <w:rPr>
                <w:b w:val="0"/>
              </w:rPr>
              <w:t>University of Pennsylvania</w:t>
            </w:r>
          </w:p>
        </w:tc>
        <w:tc>
          <w:tcPr>
            <w:tcW w:w="4788" w:type="dxa"/>
          </w:tcPr>
          <w:p w:rsidR="003A49E7" w:rsidRPr="00E7104B" w:rsidRDefault="003A49E7" w:rsidP="00544858">
            <w:pPr>
              <w:jc w:val="right"/>
              <w:cnfStyle w:val="100000000000"/>
              <w:rPr>
                <w:b w:val="0"/>
              </w:rPr>
            </w:pPr>
            <w:r w:rsidRPr="00E7104B">
              <w:rPr>
                <w:b w:val="0"/>
              </w:rPr>
              <w:t>Gustav Sigurdsson</w:t>
            </w:r>
          </w:p>
          <w:p w:rsidR="003A49E7" w:rsidRPr="00E7104B" w:rsidRDefault="003A49E7" w:rsidP="00544858">
            <w:pPr>
              <w:jc w:val="right"/>
              <w:cnfStyle w:val="100000000000"/>
              <w:rPr>
                <w:b w:val="0"/>
              </w:rPr>
            </w:pPr>
            <w:r w:rsidRPr="00E7104B">
              <w:rPr>
                <w:b w:val="0"/>
              </w:rPr>
              <w:t>Spring 200</w:t>
            </w:r>
            <w:r w:rsidR="002430D0">
              <w:rPr>
                <w:b w:val="0"/>
              </w:rPr>
              <w:t>9</w:t>
            </w:r>
          </w:p>
        </w:tc>
      </w:tr>
    </w:tbl>
    <w:p w:rsidR="003A1A7A" w:rsidRDefault="003A1A7A" w:rsidP="003A1A7A">
      <w:pPr>
        <w:rPr>
          <w:b/>
          <w:sz w:val="28"/>
          <w:szCs w:val="28"/>
        </w:rPr>
      </w:pPr>
    </w:p>
    <w:p w:rsidR="00A00F73" w:rsidRDefault="005451E4" w:rsidP="00C6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 Corporate Finance</w:t>
      </w:r>
    </w:p>
    <w:p w:rsidR="00C61833" w:rsidRDefault="003A1A7A" w:rsidP="00C61833">
      <w:pPr>
        <w:jc w:val="center"/>
      </w:pPr>
      <w:r>
        <w:t>FNCE 203/726</w:t>
      </w:r>
    </w:p>
    <w:p w:rsidR="00EF6D8C" w:rsidRDefault="00EF6D8C" w:rsidP="00C61833">
      <w:pPr>
        <w:jc w:val="center"/>
        <w:rPr>
          <w:b/>
        </w:rPr>
      </w:pPr>
    </w:p>
    <w:p w:rsidR="002B68C5" w:rsidRPr="002B68C5" w:rsidRDefault="002B68C5" w:rsidP="00A94CD8">
      <w:pPr>
        <w:rPr>
          <w:b/>
        </w:rPr>
      </w:pPr>
      <w:r>
        <w:rPr>
          <w:b/>
        </w:rPr>
        <w:t>Introduction</w:t>
      </w:r>
    </w:p>
    <w:p w:rsidR="00A75235" w:rsidRDefault="00A75235" w:rsidP="00532B2C"/>
    <w:p w:rsidR="00532B2C" w:rsidRDefault="00142944" w:rsidP="001454EC">
      <w:pPr>
        <w:jc w:val="both"/>
      </w:pPr>
      <w:r>
        <w:t xml:space="preserve">The objective of this course is to provide </w:t>
      </w:r>
      <w:r w:rsidR="00CA468E">
        <w:t>an</w:t>
      </w:r>
      <w:r>
        <w:t xml:space="preserve"> opportunity to apply the tools and concepts of modern financial theory to </w:t>
      </w:r>
      <w:r w:rsidR="00411544">
        <w:t xml:space="preserve">corporate financial decisions. </w:t>
      </w:r>
      <w:r w:rsidR="002A75A6">
        <w:t xml:space="preserve">Therefore, it combines lectures with case </w:t>
      </w:r>
      <w:r w:rsidR="00A91BBC">
        <w:t>analysis</w:t>
      </w:r>
      <w:r w:rsidR="002A75A6">
        <w:t>.</w:t>
      </w:r>
      <w:r w:rsidR="000F45C3">
        <w:t xml:space="preserve"> </w:t>
      </w:r>
      <w:r w:rsidR="00853921">
        <w:t>Cases develop our</w:t>
      </w:r>
      <w:r w:rsidR="000F45C3">
        <w:t xml:space="preserve"> decision-making ability by forcing us to confront the complexities of real-world situations</w:t>
      </w:r>
      <w:r w:rsidR="002234A0">
        <w:t>.</w:t>
      </w:r>
      <w:r w:rsidR="00853921">
        <w:t xml:space="preserve"> </w:t>
      </w:r>
      <w:r w:rsidR="000B4A12">
        <w:t>The</w:t>
      </w:r>
      <w:r w:rsidR="00853921">
        <w:t xml:space="preserve"> challenge is not to compute a single right answer, as one might do in a problem set, but rather to identify the relevant issues and the appropriate tools and concepts to address them.</w:t>
      </w:r>
      <w:r w:rsidR="00E330F2">
        <w:t xml:space="preserve"> </w:t>
      </w:r>
      <w:r w:rsidR="009E2628">
        <w:t xml:space="preserve">In fact, </w:t>
      </w:r>
      <w:r w:rsidR="00CD0419">
        <w:t xml:space="preserve">a single right answer rarely exists because </w:t>
      </w:r>
      <w:r w:rsidR="009E2628">
        <w:t>the best cases are</w:t>
      </w:r>
      <w:r w:rsidR="00F54BD3">
        <w:t xml:space="preserve"> deliberately written to be ambiguous</w:t>
      </w:r>
      <w:r w:rsidR="00CD0419">
        <w:t>.</w:t>
      </w:r>
      <w:r w:rsidR="00203A22">
        <w:t xml:space="preserve"> </w:t>
      </w:r>
      <w:r w:rsidR="006B3432">
        <w:t xml:space="preserve">There are, </w:t>
      </w:r>
      <w:r w:rsidR="00EB6C5B">
        <w:t>however, g</w:t>
      </w:r>
      <w:r w:rsidR="00F16F72">
        <w:t>ood arguments and bad</w:t>
      </w:r>
      <w:r w:rsidR="003142ED">
        <w:t xml:space="preserve"> ar</w:t>
      </w:r>
      <w:r w:rsidR="00165108">
        <w:t xml:space="preserve">guments. </w:t>
      </w:r>
      <w:r w:rsidR="00097D9A">
        <w:t xml:space="preserve">To distinguish </w:t>
      </w:r>
      <w:r w:rsidR="00803A0D">
        <w:t xml:space="preserve">between </w:t>
      </w:r>
      <w:r w:rsidR="00097D9A">
        <w:t>these, w</w:t>
      </w:r>
      <w:r w:rsidR="00165108">
        <w:t xml:space="preserve">e will review essential tools and concepts </w:t>
      </w:r>
      <w:r w:rsidR="00837437">
        <w:t>int</w:t>
      </w:r>
      <w:r w:rsidR="00165108">
        <w:t>roduced in FNCE 100/601 and introduce</w:t>
      </w:r>
      <w:r w:rsidR="001726CB">
        <w:t xml:space="preserve"> new</w:t>
      </w:r>
      <w:r w:rsidR="00837437">
        <w:t>, more advanced</w:t>
      </w:r>
      <w:r w:rsidR="001726CB">
        <w:t>, ones</w:t>
      </w:r>
      <w:r w:rsidR="00165108">
        <w:t>.</w:t>
      </w:r>
    </w:p>
    <w:p w:rsidR="00C61833" w:rsidRDefault="00C61833"/>
    <w:p w:rsidR="0076677C" w:rsidRDefault="0076677C" w:rsidP="00A94CD8">
      <w:r>
        <w:rPr>
          <w:b/>
        </w:rPr>
        <w:t>Contact information and office hours</w:t>
      </w:r>
    </w:p>
    <w:p w:rsidR="00F838F0" w:rsidRDefault="00F838F0" w:rsidP="00A94CD8"/>
    <w:p w:rsidR="00F838F0" w:rsidRPr="00F838F0" w:rsidRDefault="00F838F0" w:rsidP="001454EC">
      <w:pPr>
        <w:jc w:val="both"/>
      </w:pPr>
      <w:r>
        <w:t xml:space="preserve">Scheduled office hours are held every week during class time. </w:t>
      </w:r>
      <w:r w:rsidR="00326CD9">
        <w:t>If you cannot make it to regular office hours, w</w:t>
      </w:r>
      <w:r w:rsidR="008B3B41">
        <w:t>e are also available by appointment.</w:t>
      </w:r>
    </w:p>
    <w:p w:rsidR="00337AA2" w:rsidRDefault="00337AA2" w:rsidP="00337AA2"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29"/>
        <w:gridCol w:w="2519"/>
        <w:gridCol w:w="1744"/>
        <w:gridCol w:w="2441"/>
      </w:tblGrid>
      <w:tr w:rsidR="00EC769D" w:rsidTr="00B268F4">
        <w:trPr>
          <w:trHeight w:val="279"/>
        </w:trPr>
        <w:tc>
          <w:tcPr>
            <w:tcW w:w="2829" w:type="dxa"/>
            <w:tcBorders>
              <w:bottom w:val="single" w:sz="4" w:space="0" w:color="auto"/>
            </w:tcBorders>
          </w:tcPr>
          <w:p w:rsidR="00EC769D" w:rsidRDefault="00EC769D" w:rsidP="001A1753"/>
        </w:tc>
        <w:tc>
          <w:tcPr>
            <w:tcW w:w="2519" w:type="dxa"/>
            <w:tcBorders>
              <w:bottom w:val="single" w:sz="4" w:space="0" w:color="auto"/>
            </w:tcBorders>
          </w:tcPr>
          <w:p w:rsidR="00EC769D" w:rsidRDefault="00532B2C" w:rsidP="001A1753">
            <w:r>
              <w:t>E-mail</w:t>
            </w:r>
            <w:r w:rsidR="00DA058A">
              <w:t xml:space="preserve"> (@wharton)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EC769D" w:rsidRDefault="00532B2C" w:rsidP="001A1753">
            <w:r>
              <w:t>Location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EC769D" w:rsidRDefault="00532B2C" w:rsidP="001A1753">
            <w:r>
              <w:t>Office hours</w:t>
            </w:r>
          </w:p>
        </w:tc>
      </w:tr>
      <w:tr w:rsidR="00532B2C" w:rsidTr="00B268F4">
        <w:trPr>
          <w:trHeight w:val="279"/>
        </w:trPr>
        <w:tc>
          <w:tcPr>
            <w:tcW w:w="2829" w:type="dxa"/>
            <w:tcBorders>
              <w:top w:val="single" w:sz="4" w:space="0" w:color="auto"/>
            </w:tcBorders>
          </w:tcPr>
          <w:p w:rsidR="00532B2C" w:rsidRDefault="00532B2C" w:rsidP="001A1753">
            <w:r>
              <w:t>Gustav Sigurdsson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532B2C" w:rsidRDefault="00872A3F" w:rsidP="001A1753">
            <w:r>
              <w:t>gustav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32B2C" w:rsidRDefault="00532B2C" w:rsidP="001A1753">
            <w:r>
              <w:t>SH-DH 2437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532B2C" w:rsidRDefault="00532B2C" w:rsidP="001A1753">
            <w:r>
              <w:t>Tue 4:30-6:00pm</w:t>
            </w:r>
          </w:p>
        </w:tc>
      </w:tr>
      <w:tr w:rsidR="00532B2C" w:rsidTr="00B268F4">
        <w:trPr>
          <w:trHeight w:val="279"/>
        </w:trPr>
        <w:tc>
          <w:tcPr>
            <w:tcW w:w="2829" w:type="dxa"/>
          </w:tcPr>
          <w:p w:rsidR="00532B2C" w:rsidRDefault="002430D0" w:rsidP="001A1753">
            <w:r>
              <w:t>Christopher Ganis</w:t>
            </w:r>
          </w:p>
        </w:tc>
        <w:tc>
          <w:tcPr>
            <w:tcW w:w="2519" w:type="dxa"/>
          </w:tcPr>
          <w:p w:rsidR="00532B2C" w:rsidRDefault="002430D0" w:rsidP="001A1753">
            <w:r>
              <w:t>ganisc</w:t>
            </w:r>
          </w:p>
        </w:tc>
        <w:tc>
          <w:tcPr>
            <w:tcW w:w="1744" w:type="dxa"/>
          </w:tcPr>
          <w:p w:rsidR="00532B2C" w:rsidRDefault="00532B2C" w:rsidP="00236149"/>
        </w:tc>
        <w:tc>
          <w:tcPr>
            <w:tcW w:w="2441" w:type="dxa"/>
          </w:tcPr>
          <w:p w:rsidR="00532B2C" w:rsidRDefault="00532B2C" w:rsidP="001A1753"/>
        </w:tc>
      </w:tr>
      <w:tr w:rsidR="00532B2C" w:rsidTr="00B268F4">
        <w:trPr>
          <w:trHeight w:val="279"/>
        </w:trPr>
        <w:tc>
          <w:tcPr>
            <w:tcW w:w="2829" w:type="dxa"/>
          </w:tcPr>
          <w:p w:rsidR="00532B2C" w:rsidRDefault="002430D0" w:rsidP="00872A3F">
            <w:r>
              <w:t>Galantino Gallo</w:t>
            </w:r>
          </w:p>
        </w:tc>
        <w:tc>
          <w:tcPr>
            <w:tcW w:w="2519" w:type="dxa"/>
          </w:tcPr>
          <w:p w:rsidR="00532B2C" w:rsidRDefault="002430D0" w:rsidP="00872A3F">
            <w:r>
              <w:t>ggal</w:t>
            </w:r>
          </w:p>
        </w:tc>
        <w:tc>
          <w:tcPr>
            <w:tcW w:w="1744" w:type="dxa"/>
          </w:tcPr>
          <w:p w:rsidR="00532B2C" w:rsidRDefault="00532B2C" w:rsidP="001A1753"/>
        </w:tc>
        <w:tc>
          <w:tcPr>
            <w:tcW w:w="2441" w:type="dxa"/>
          </w:tcPr>
          <w:p w:rsidR="00532B2C" w:rsidRDefault="00532B2C" w:rsidP="001A1753"/>
        </w:tc>
      </w:tr>
      <w:tr w:rsidR="00532B2C" w:rsidTr="00B268F4">
        <w:trPr>
          <w:trHeight w:val="279"/>
        </w:trPr>
        <w:tc>
          <w:tcPr>
            <w:tcW w:w="2829" w:type="dxa"/>
          </w:tcPr>
          <w:p w:rsidR="00532B2C" w:rsidRDefault="002430D0" w:rsidP="001A1753">
            <w:r>
              <w:t>Rebecca Jin</w:t>
            </w:r>
          </w:p>
        </w:tc>
        <w:tc>
          <w:tcPr>
            <w:tcW w:w="2519" w:type="dxa"/>
          </w:tcPr>
          <w:p w:rsidR="00532B2C" w:rsidRDefault="002430D0" w:rsidP="001A1753">
            <w:r>
              <w:t>jinrb</w:t>
            </w:r>
          </w:p>
        </w:tc>
        <w:tc>
          <w:tcPr>
            <w:tcW w:w="1744" w:type="dxa"/>
          </w:tcPr>
          <w:p w:rsidR="00532B2C" w:rsidRDefault="00532B2C" w:rsidP="001A1753"/>
        </w:tc>
        <w:tc>
          <w:tcPr>
            <w:tcW w:w="2441" w:type="dxa"/>
          </w:tcPr>
          <w:p w:rsidR="00623086" w:rsidRDefault="00623086" w:rsidP="001A1753"/>
        </w:tc>
      </w:tr>
      <w:tr w:rsidR="009C6EE6" w:rsidTr="00B268F4">
        <w:trPr>
          <w:trHeight w:val="279"/>
        </w:trPr>
        <w:tc>
          <w:tcPr>
            <w:tcW w:w="2829" w:type="dxa"/>
          </w:tcPr>
          <w:p w:rsidR="009C6EE6" w:rsidRDefault="000B6F4A" w:rsidP="001A1753">
            <w:r>
              <w:t>Aryea Aranoff</w:t>
            </w:r>
          </w:p>
        </w:tc>
        <w:tc>
          <w:tcPr>
            <w:tcW w:w="2519" w:type="dxa"/>
          </w:tcPr>
          <w:p w:rsidR="009C6EE6" w:rsidRDefault="000B6F4A" w:rsidP="001A1753">
            <w:r>
              <w:t>aryea</w:t>
            </w:r>
          </w:p>
        </w:tc>
        <w:tc>
          <w:tcPr>
            <w:tcW w:w="1744" w:type="dxa"/>
          </w:tcPr>
          <w:p w:rsidR="009C6EE6" w:rsidRDefault="009C6EE6" w:rsidP="001A1753"/>
        </w:tc>
        <w:tc>
          <w:tcPr>
            <w:tcW w:w="2441" w:type="dxa"/>
          </w:tcPr>
          <w:p w:rsidR="009C6EE6" w:rsidRDefault="009C6EE6" w:rsidP="001A1753"/>
        </w:tc>
      </w:tr>
    </w:tbl>
    <w:p w:rsidR="00D80A75" w:rsidRDefault="00D80A75"/>
    <w:p w:rsidR="00A00F73" w:rsidRDefault="00DA103A" w:rsidP="00A94CD8">
      <w:pPr>
        <w:rPr>
          <w:b/>
        </w:rPr>
      </w:pPr>
      <w:r>
        <w:rPr>
          <w:b/>
        </w:rPr>
        <w:t>Exam dates</w:t>
      </w:r>
    </w:p>
    <w:p w:rsidR="00CE5B20" w:rsidRPr="0094146F" w:rsidRDefault="00CE5B20" w:rsidP="00DA103A">
      <w:pPr>
        <w:rPr>
          <w:b/>
        </w:rPr>
      </w:pPr>
    </w:p>
    <w:p w:rsidR="00A00F73" w:rsidRDefault="0027280E">
      <w:r>
        <w:t>Exam I</w:t>
      </w:r>
      <w:r>
        <w:tab/>
      </w:r>
      <w:r w:rsidR="00A00F73">
        <w:tab/>
      </w:r>
      <w:r w:rsidR="00082E07">
        <w:tab/>
      </w:r>
      <w:r w:rsidR="00C77EAA">
        <w:tab/>
      </w:r>
      <w:r w:rsidR="004D0612">
        <w:t xml:space="preserve">Thursday, February 26, </w:t>
      </w:r>
      <w:r w:rsidR="00BB6490">
        <w:t>during class time</w:t>
      </w:r>
    </w:p>
    <w:p w:rsidR="00A00F73" w:rsidRDefault="0027280E">
      <w:r>
        <w:t>Exam II</w:t>
      </w:r>
      <w:r w:rsidR="00A00F73">
        <w:tab/>
      </w:r>
      <w:r w:rsidR="00A00F73">
        <w:tab/>
      </w:r>
      <w:r w:rsidR="00C77EAA">
        <w:tab/>
      </w:r>
      <w:r w:rsidR="00A456E6">
        <w:t>Tuesday</w:t>
      </w:r>
      <w:r w:rsidR="00BB6490">
        <w:t xml:space="preserve">, </w:t>
      </w:r>
      <w:r w:rsidR="001300DB">
        <w:t>April 14</w:t>
      </w:r>
      <w:r w:rsidR="00BB6490">
        <w:t>, during class time</w:t>
      </w:r>
    </w:p>
    <w:p w:rsidR="00891AC4" w:rsidRDefault="00891AC4"/>
    <w:p w:rsidR="00DA103A" w:rsidRPr="00DA103A" w:rsidRDefault="00DA103A">
      <w:pPr>
        <w:rPr>
          <w:b/>
        </w:rPr>
      </w:pPr>
      <w:r>
        <w:rPr>
          <w:b/>
        </w:rPr>
        <w:t>Case report deadlines</w:t>
      </w:r>
    </w:p>
    <w:p w:rsidR="00DA103A" w:rsidRDefault="00DA103A"/>
    <w:p w:rsidR="001A0C26" w:rsidRDefault="00891AC4">
      <w:r>
        <w:t>Harris Seafoods</w:t>
      </w:r>
      <w:r w:rsidR="00DA103A">
        <w:tab/>
      </w:r>
      <w:r w:rsidR="00DA103A">
        <w:tab/>
      </w:r>
      <w:r w:rsidR="004F3A1C">
        <w:t>Tuesday, January 27</w:t>
      </w:r>
    </w:p>
    <w:p w:rsidR="004F3A1C" w:rsidRDefault="00891AC4">
      <w:r>
        <w:t>Congoleum</w:t>
      </w:r>
      <w:r w:rsidR="00DA103A">
        <w:tab/>
      </w:r>
      <w:r w:rsidR="00DA103A">
        <w:tab/>
      </w:r>
      <w:r w:rsidR="00DA103A">
        <w:tab/>
      </w:r>
      <w:r w:rsidR="004F3A1C">
        <w:t>Tuesday, February 10</w:t>
      </w:r>
    </w:p>
    <w:p w:rsidR="00891AC4" w:rsidRDefault="00891AC4">
      <w:r>
        <w:t>American Home Products</w:t>
      </w:r>
      <w:r w:rsidR="00DA103A">
        <w:tab/>
      </w:r>
      <w:r w:rsidR="004F3A1C">
        <w:t>Tuesday, March 3</w:t>
      </w:r>
    </w:p>
    <w:p w:rsidR="00DA103A" w:rsidRDefault="007E3BEF">
      <w:r>
        <w:t>Corning</w:t>
      </w:r>
      <w:r>
        <w:tab/>
      </w:r>
      <w:r>
        <w:tab/>
      </w:r>
      <w:r w:rsidR="00DA103A">
        <w:tab/>
      </w:r>
      <w:r w:rsidR="004F3A1C">
        <w:t>Tuesday, March 24</w:t>
      </w:r>
    </w:p>
    <w:p w:rsidR="00891AC4" w:rsidRDefault="00891AC4">
      <w:r>
        <w:t>Kennecott Copper</w:t>
      </w:r>
      <w:r w:rsidR="00DA103A">
        <w:tab/>
      </w:r>
      <w:r w:rsidR="00DA103A">
        <w:tab/>
      </w:r>
      <w:r w:rsidR="004F3A1C">
        <w:t>Tuesday, April 7</w:t>
      </w:r>
    </w:p>
    <w:p w:rsidR="00891AC4" w:rsidRDefault="00891AC4">
      <w:r>
        <w:t>Consolidated Rail</w:t>
      </w:r>
      <w:r w:rsidR="00DA103A">
        <w:tab/>
      </w:r>
      <w:r w:rsidR="00DA103A">
        <w:tab/>
      </w:r>
      <w:r w:rsidR="004F3A1C">
        <w:t>Tuesday, April 21</w:t>
      </w:r>
    </w:p>
    <w:p w:rsidR="00891AC4" w:rsidRPr="00891AC4" w:rsidRDefault="00891AC4"/>
    <w:p w:rsidR="00953EA2" w:rsidRDefault="00953EA2" w:rsidP="00023ABB">
      <w:pPr>
        <w:rPr>
          <w:b/>
        </w:rPr>
      </w:pPr>
    </w:p>
    <w:p w:rsidR="00953EA2" w:rsidRDefault="00953EA2" w:rsidP="00023ABB">
      <w:pPr>
        <w:rPr>
          <w:b/>
        </w:rPr>
      </w:pPr>
    </w:p>
    <w:p w:rsidR="00E74A55" w:rsidRDefault="000E767E" w:rsidP="00023ABB">
      <w:r>
        <w:rPr>
          <w:b/>
        </w:rPr>
        <w:lastRenderedPageBreak/>
        <w:t>Grading</w:t>
      </w:r>
    </w:p>
    <w:p w:rsidR="00E74A55" w:rsidRDefault="00E74A55" w:rsidP="00023ABB"/>
    <w:p w:rsidR="00E74A55" w:rsidRPr="00E74A55" w:rsidRDefault="00E74A55" w:rsidP="00A4783A">
      <w:pPr>
        <w:jc w:val="both"/>
      </w:pPr>
      <w:r>
        <w:t xml:space="preserve">Class participation, six case reports, and two exams </w:t>
      </w:r>
      <w:r w:rsidR="00DD0835">
        <w:t>determine your final grade in the course.</w:t>
      </w:r>
      <w:r w:rsidR="00226A89">
        <w:t xml:space="preserve"> </w:t>
      </w:r>
      <w:r w:rsidR="003F301A">
        <w:t>Their approximate weights in your final grade are given below.</w:t>
      </w:r>
    </w:p>
    <w:p w:rsidR="000E767E" w:rsidRDefault="000E767E" w:rsidP="00023ABB"/>
    <w:p w:rsidR="000E767E" w:rsidRPr="003123DD" w:rsidRDefault="000E767E" w:rsidP="00023ABB">
      <w:pPr>
        <w:rPr>
          <w:u w:val="single"/>
        </w:rPr>
      </w:pPr>
      <w:r w:rsidRPr="003123DD">
        <w:rPr>
          <w:u w:val="single"/>
        </w:rPr>
        <w:t>Class participation</w:t>
      </w:r>
      <w:r w:rsidR="00464A7E">
        <w:rPr>
          <w:u w:val="single"/>
        </w:rPr>
        <w:t xml:space="preserve"> (</w:t>
      </w:r>
      <w:r w:rsidR="009E18BA">
        <w:rPr>
          <w:u w:val="single"/>
        </w:rPr>
        <w:t>15</w:t>
      </w:r>
      <w:r w:rsidR="00E60202">
        <w:rPr>
          <w:u w:val="single"/>
        </w:rPr>
        <w:t>%</w:t>
      </w:r>
      <w:r w:rsidR="00A949D7" w:rsidRPr="003123DD">
        <w:rPr>
          <w:u w:val="single"/>
        </w:rPr>
        <w:t>)</w:t>
      </w:r>
    </w:p>
    <w:p w:rsidR="001454EC" w:rsidRDefault="00491F03" w:rsidP="00775C61">
      <w:pPr>
        <w:jc w:val="both"/>
      </w:pPr>
      <w:r>
        <w:t>This class thrives on your active participation</w:t>
      </w:r>
      <w:r w:rsidR="007F721C">
        <w:t xml:space="preserve"> – your </w:t>
      </w:r>
      <w:r w:rsidR="00BE34F8">
        <w:t xml:space="preserve">questions and comments </w:t>
      </w:r>
      <w:r w:rsidR="00F91692">
        <w:t xml:space="preserve">can further everyone’s learning and </w:t>
      </w:r>
      <w:r w:rsidR="00BE34F8">
        <w:t xml:space="preserve">are an essential part of the </w:t>
      </w:r>
      <w:r w:rsidR="009838E1">
        <w:t>classroom</w:t>
      </w:r>
      <w:r w:rsidR="00BE34F8">
        <w:t xml:space="preserve"> experience</w:t>
      </w:r>
      <w:r w:rsidR="00C8638A">
        <w:t>.</w:t>
      </w:r>
      <w:r w:rsidR="00BE34F8">
        <w:t xml:space="preserve"> </w:t>
      </w:r>
      <w:r w:rsidR="003F301A">
        <w:t>You</w:t>
      </w:r>
      <w:r w:rsidR="0027638B">
        <w:t xml:space="preserve"> </w:t>
      </w:r>
      <w:r w:rsidR="008D6FED">
        <w:t xml:space="preserve">may </w:t>
      </w:r>
      <w:r w:rsidR="007A5D8E">
        <w:t>at any time</w:t>
      </w:r>
      <w:r w:rsidR="0027638B">
        <w:t xml:space="preserve"> </w:t>
      </w:r>
      <w:r w:rsidR="008658EA">
        <w:t>q</w:t>
      </w:r>
      <w:r w:rsidR="007A5D8E">
        <w:t>uestion</w:t>
      </w:r>
      <w:r w:rsidR="00DB63B6">
        <w:t xml:space="preserve"> an assumption of the analysis, </w:t>
      </w:r>
      <w:r w:rsidR="007A5D8E">
        <w:t>share</w:t>
      </w:r>
      <w:r w:rsidR="00DB63B6">
        <w:t xml:space="preserve"> an experien</w:t>
      </w:r>
      <w:r w:rsidR="006B24EA">
        <w:t xml:space="preserve">ce that is relevant to the current topic, </w:t>
      </w:r>
      <w:r w:rsidR="008658EA">
        <w:t>or</w:t>
      </w:r>
      <w:r w:rsidR="006B24EA">
        <w:t xml:space="preserve"> </w:t>
      </w:r>
      <w:r w:rsidR="00AB787C">
        <w:t>ask</w:t>
      </w:r>
      <w:r w:rsidR="006B24EA">
        <w:t xml:space="preserve"> a clarifying question</w:t>
      </w:r>
      <w:r w:rsidR="008658EA">
        <w:t>.</w:t>
      </w:r>
      <w:r w:rsidR="00650196">
        <w:t xml:space="preserve"> The quality of your class participation is far more important than its quantity. </w:t>
      </w:r>
      <w:r w:rsidR="003B0DCF">
        <w:t>If</w:t>
      </w:r>
      <w:r w:rsidR="00650196">
        <w:t>, however</w:t>
      </w:r>
      <w:r w:rsidR="003B0DCF">
        <w:t xml:space="preserve"> very few people participate voluntarily, I may randomly call on students.</w:t>
      </w:r>
      <w:r w:rsidR="00611330">
        <w:t xml:space="preserve"> In addition, you and your group may volunteer to present a case in class.</w:t>
      </w:r>
    </w:p>
    <w:p w:rsidR="00A949D7" w:rsidRDefault="00A949D7" w:rsidP="00023ABB"/>
    <w:p w:rsidR="000E767E" w:rsidRPr="003123DD" w:rsidRDefault="00952DB4" w:rsidP="00023ABB">
      <w:pPr>
        <w:rPr>
          <w:u w:val="single"/>
        </w:rPr>
      </w:pPr>
      <w:r>
        <w:rPr>
          <w:u w:val="single"/>
        </w:rPr>
        <w:t>Six c</w:t>
      </w:r>
      <w:r w:rsidR="003369C4" w:rsidRPr="003123DD">
        <w:rPr>
          <w:u w:val="single"/>
        </w:rPr>
        <w:t xml:space="preserve">ase </w:t>
      </w:r>
      <w:r w:rsidR="002A3418">
        <w:rPr>
          <w:u w:val="single"/>
        </w:rPr>
        <w:t>reports</w:t>
      </w:r>
      <w:r w:rsidR="00A949D7" w:rsidRPr="003123DD">
        <w:rPr>
          <w:u w:val="single"/>
        </w:rPr>
        <w:t xml:space="preserve"> (</w:t>
      </w:r>
      <w:r w:rsidR="001A2FD7">
        <w:rPr>
          <w:u w:val="single"/>
        </w:rPr>
        <w:t>25</w:t>
      </w:r>
      <w:r w:rsidR="004361DC">
        <w:rPr>
          <w:u w:val="single"/>
        </w:rPr>
        <w:t>%</w:t>
      </w:r>
      <w:r>
        <w:rPr>
          <w:u w:val="single"/>
        </w:rPr>
        <w:t>)</w:t>
      </w:r>
    </w:p>
    <w:p w:rsidR="003E0DE3" w:rsidRDefault="003E0DE3" w:rsidP="001454EC">
      <w:pPr>
        <w:jc w:val="both"/>
      </w:pPr>
      <w:r>
        <w:t xml:space="preserve">You should organize into groups of </w:t>
      </w:r>
      <w:r w:rsidR="00A949D7">
        <w:t xml:space="preserve">four people or less. Each group will write a detailed report on each of six cases. </w:t>
      </w:r>
      <w:r w:rsidR="00B337EC">
        <w:t>The</w:t>
      </w:r>
      <w:r w:rsidR="00A949D7">
        <w:t xml:space="preserve"> report should include 2-4 pages of analysis (typed and double-spaced) with references to an unlimited number of tables, figures, and notes attached in an appendix.</w:t>
      </w:r>
      <w:r w:rsidR="003D5ED3">
        <w:t xml:space="preserve"> The report should address the suggested questions for the case but should not be written in the form of</w:t>
      </w:r>
      <w:r w:rsidR="003D5ED3" w:rsidRPr="00F746CF">
        <w:t xml:space="preserve"> </w:t>
      </w:r>
      <w:r w:rsidR="003D5ED3">
        <w:t>answers to these</w:t>
      </w:r>
      <w:r w:rsidR="003C35B9">
        <w:t xml:space="preserve"> questions or be confined to these issues only. Rather, the report should be a complete review of the situation and address all points believed to be important for the analysis.</w:t>
      </w:r>
      <w:r w:rsidR="00BB78EF">
        <w:t xml:space="preserve"> </w:t>
      </w:r>
      <w:r w:rsidR="00195F7C">
        <w:t>One</w:t>
      </w:r>
      <w:r w:rsidR="00BB78EF">
        <w:t xml:space="preserve"> of the six case report grades </w:t>
      </w:r>
      <w:r w:rsidR="00195F7C">
        <w:t xml:space="preserve">(the lowest one) </w:t>
      </w:r>
      <w:r w:rsidR="00BB78EF">
        <w:t>will be dropped.</w:t>
      </w:r>
    </w:p>
    <w:p w:rsidR="003D5ED3" w:rsidRPr="003123DD" w:rsidRDefault="003D5ED3" w:rsidP="00023ABB">
      <w:pPr>
        <w:rPr>
          <w:u w:val="single"/>
        </w:rPr>
      </w:pPr>
    </w:p>
    <w:p w:rsidR="009B78F6" w:rsidRPr="003123DD" w:rsidRDefault="00952DB4" w:rsidP="00023ABB">
      <w:pPr>
        <w:rPr>
          <w:u w:val="single"/>
        </w:rPr>
      </w:pPr>
      <w:r>
        <w:rPr>
          <w:u w:val="single"/>
        </w:rPr>
        <w:t>Two exams</w:t>
      </w:r>
      <w:r w:rsidR="003D5ED3" w:rsidRPr="003123DD">
        <w:rPr>
          <w:u w:val="single"/>
        </w:rPr>
        <w:t xml:space="preserve"> (</w:t>
      </w:r>
      <w:r>
        <w:rPr>
          <w:u w:val="single"/>
        </w:rPr>
        <w:t>3</w:t>
      </w:r>
      <w:r w:rsidR="003D5ED3" w:rsidRPr="003123DD">
        <w:rPr>
          <w:u w:val="single"/>
        </w:rPr>
        <w:t xml:space="preserve">0% </w:t>
      </w:r>
      <w:r w:rsidR="00B268F4">
        <w:rPr>
          <w:u w:val="single"/>
        </w:rPr>
        <w:t>each</w:t>
      </w:r>
      <w:r w:rsidR="003D5ED3" w:rsidRPr="003123DD">
        <w:rPr>
          <w:u w:val="single"/>
        </w:rPr>
        <w:t>)</w:t>
      </w:r>
    </w:p>
    <w:p w:rsidR="00D4322A" w:rsidRPr="00A0258C" w:rsidRDefault="00A0258C" w:rsidP="001454EC">
      <w:pPr>
        <w:jc w:val="both"/>
      </w:pPr>
      <w:r>
        <w:t>There will be tw</w:t>
      </w:r>
      <w:r w:rsidR="00DA38E6">
        <w:t xml:space="preserve">o </w:t>
      </w:r>
      <w:r w:rsidR="00B72932">
        <w:t xml:space="preserve">in-class </w:t>
      </w:r>
      <w:r w:rsidR="00DA38E6">
        <w:t xml:space="preserve">exams: </w:t>
      </w:r>
      <w:r w:rsidR="00952DB4">
        <w:t>the first on</w:t>
      </w:r>
      <w:r w:rsidR="00DA38E6">
        <w:t xml:space="preserve"> February 2</w:t>
      </w:r>
      <w:r w:rsidR="00283B98">
        <w:t>6</w:t>
      </w:r>
      <w:r w:rsidR="00DA38E6">
        <w:t xml:space="preserve"> and </w:t>
      </w:r>
      <w:r w:rsidR="00952DB4">
        <w:t>the second</w:t>
      </w:r>
      <w:r w:rsidR="00DA38E6">
        <w:t xml:space="preserve"> on </w:t>
      </w:r>
      <w:r w:rsidR="004A11B4">
        <w:t xml:space="preserve">April </w:t>
      </w:r>
      <w:r w:rsidR="00B72932">
        <w:t>14</w:t>
      </w:r>
      <w:r w:rsidR="00DA38E6">
        <w:t xml:space="preserve">. Each exam will contain questions </w:t>
      </w:r>
      <w:r w:rsidR="00416B59">
        <w:t>from the entire course up to the exam date.</w:t>
      </w:r>
      <w:r w:rsidR="00D1450F">
        <w:t xml:space="preserve"> </w:t>
      </w:r>
      <w:r w:rsidR="00D316E2">
        <w:t xml:space="preserve">You may bring a calculator </w:t>
      </w:r>
      <w:r w:rsidR="003A1C52">
        <w:t xml:space="preserve">(not a computer) </w:t>
      </w:r>
      <w:r w:rsidR="00D316E2">
        <w:t>and one letter-sized “cheat sheet” to the exams.</w:t>
      </w:r>
    </w:p>
    <w:p w:rsidR="00C53E05" w:rsidRDefault="00C53E05" w:rsidP="00C53E05"/>
    <w:p w:rsidR="00C53E05" w:rsidRDefault="00C53E05" w:rsidP="001454EC">
      <w:pPr>
        <w:jc w:val="both"/>
      </w:pPr>
      <w:r>
        <w:t xml:space="preserve">Make-up exams will only be offered </w:t>
      </w:r>
      <w:r w:rsidR="00081816">
        <w:t>in case of</w:t>
      </w:r>
      <w:r>
        <w:t xml:space="preserve"> serious illness, a family emergency, or some other unusual event. Undergraduate students must get approval from their dean’s office and MBA students must get approval from the MBA Program Office.</w:t>
      </w:r>
    </w:p>
    <w:p w:rsidR="00B63EB8" w:rsidRDefault="00B63EB8" w:rsidP="00023ABB"/>
    <w:p w:rsidR="006D082B" w:rsidRDefault="007E15AE" w:rsidP="001454EC">
      <w:pPr>
        <w:jc w:val="both"/>
      </w:pPr>
      <w:r>
        <w:t xml:space="preserve">The MBA Executive Committee recommends the </w:t>
      </w:r>
      <w:r w:rsidR="0086594D">
        <w:t xml:space="preserve">final grade </w:t>
      </w:r>
      <w:r w:rsidR="00BE0D95">
        <w:t>target distribution</w:t>
      </w:r>
      <w:r>
        <w:t xml:space="preserve"> </w:t>
      </w:r>
      <w:r w:rsidR="00AA560C">
        <w:t xml:space="preserve">in the table </w:t>
      </w:r>
      <w:r>
        <w:t xml:space="preserve">below. </w:t>
      </w:r>
      <w:r w:rsidR="00BC07F6">
        <w:t>Furthermore, the MBA</w:t>
      </w:r>
      <w:r w:rsidR="00176D34">
        <w:t xml:space="preserve"> </w:t>
      </w:r>
      <w:r w:rsidR="00BF45BF">
        <w:t>clas</w:t>
      </w:r>
      <w:r w:rsidR="0080283E">
        <w:t xml:space="preserve">s average </w:t>
      </w:r>
      <w:r w:rsidR="00BF45BF">
        <w:t>may not exceed 3.33.</w:t>
      </w:r>
      <w:r w:rsidR="001864C4">
        <w:t xml:space="preserve"> I</w:t>
      </w:r>
      <w:r w:rsidR="00EF2A96">
        <w:t xml:space="preserve"> will</w:t>
      </w:r>
      <w:r w:rsidR="001864C4">
        <w:t xml:space="preserve"> </w:t>
      </w:r>
      <w:r w:rsidR="0080283E">
        <w:t>follow</w:t>
      </w:r>
      <w:r w:rsidR="008524CD">
        <w:t xml:space="preserve"> these guidelines for</w:t>
      </w:r>
      <w:r w:rsidR="001864C4">
        <w:t xml:space="preserve"> both</w:t>
      </w:r>
      <w:r w:rsidR="0080283E">
        <w:t xml:space="preserve"> MBA and undergraduate students</w:t>
      </w:r>
      <w:r w:rsidR="005B5016">
        <w:t xml:space="preserve"> and treat</w:t>
      </w:r>
      <w:r w:rsidR="0080283E">
        <w:t xml:space="preserve"> all thre</w:t>
      </w:r>
      <w:r w:rsidR="00E637CD">
        <w:t>e sections of the course as</w:t>
      </w:r>
      <w:r w:rsidR="00921857">
        <w:t xml:space="preserve"> one</w:t>
      </w:r>
      <w:r w:rsidR="005B5016">
        <w:t>.</w:t>
      </w:r>
    </w:p>
    <w:p w:rsidR="003A209D" w:rsidRPr="00B741FD" w:rsidRDefault="003A209D" w:rsidP="00023ABB"/>
    <w:tbl>
      <w:tblPr>
        <w:tblStyle w:val="TableGrid"/>
        <w:tblW w:w="0" w:type="auto"/>
        <w:tblInd w:w="2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1"/>
        <w:gridCol w:w="2117"/>
      </w:tblGrid>
      <w:tr w:rsidR="001864C4" w:rsidRPr="00B741FD" w:rsidTr="001864C4">
        <w:tc>
          <w:tcPr>
            <w:tcW w:w="1771" w:type="dxa"/>
            <w:tcBorders>
              <w:bottom w:val="single" w:sz="4" w:space="0" w:color="auto"/>
            </w:tcBorders>
          </w:tcPr>
          <w:p w:rsidR="001864C4" w:rsidRPr="00B741FD" w:rsidRDefault="001864C4" w:rsidP="00023ABB">
            <w:r w:rsidRPr="00B741FD">
              <w:t>Grade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864C4" w:rsidRPr="00B741FD" w:rsidRDefault="001864C4" w:rsidP="00AC5939">
            <w:r>
              <w:t>Target</w:t>
            </w:r>
          </w:p>
        </w:tc>
      </w:tr>
      <w:tr w:rsidR="001864C4" w:rsidTr="001864C4">
        <w:tc>
          <w:tcPr>
            <w:tcW w:w="1771" w:type="dxa"/>
            <w:tcBorders>
              <w:top w:val="single" w:sz="4" w:space="0" w:color="auto"/>
            </w:tcBorders>
          </w:tcPr>
          <w:p w:rsidR="001864C4" w:rsidRDefault="001864C4" w:rsidP="00023ABB">
            <w:r>
              <w:t>A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1864C4" w:rsidRDefault="001864C4" w:rsidP="00023ABB">
            <w:r>
              <w:t>25%-35%</w:t>
            </w:r>
          </w:p>
        </w:tc>
      </w:tr>
      <w:tr w:rsidR="001864C4" w:rsidTr="001864C4">
        <w:tc>
          <w:tcPr>
            <w:tcW w:w="1771" w:type="dxa"/>
          </w:tcPr>
          <w:p w:rsidR="001864C4" w:rsidRDefault="001864C4" w:rsidP="00023ABB">
            <w:r>
              <w:t>B</w:t>
            </w:r>
          </w:p>
        </w:tc>
        <w:tc>
          <w:tcPr>
            <w:tcW w:w="2117" w:type="dxa"/>
          </w:tcPr>
          <w:p w:rsidR="001864C4" w:rsidRDefault="001864C4" w:rsidP="00023ABB">
            <w:r>
              <w:t>60%</w:t>
            </w:r>
          </w:p>
        </w:tc>
      </w:tr>
      <w:tr w:rsidR="001864C4" w:rsidTr="001864C4">
        <w:tc>
          <w:tcPr>
            <w:tcW w:w="1771" w:type="dxa"/>
          </w:tcPr>
          <w:p w:rsidR="001864C4" w:rsidRDefault="001864C4" w:rsidP="00023ABB">
            <w:r>
              <w:t>C and below</w:t>
            </w:r>
          </w:p>
        </w:tc>
        <w:tc>
          <w:tcPr>
            <w:tcW w:w="2117" w:type="dxa"/>
          </w:tcPr>
          <w:p w:rsidR="001864C4" w:rsidRDefault="001864C4" w:rsidP="00023ABB">
            <w:r>
              <w:t>5%-15%</w:t>
            </w:r>
          </w:p>
        </w:tc>
      </w:tr>
      <w:tr w:rsidR="001864C4" w:rsidTr="001864C4">
        <w:tc>
          <w:tcPr>
            <w:tcW w:w="1771" w:type="dxa"/>
          </w:tcPr>
          <w:p w:rsidR="001864C4" w:rsidRDefault="001864C4" w:rsidP="00023ABB"/>
        </w:tc>
        <w:tc>
          <w:tcPr>
            <w:tcW w:w="2117" w:type="dxa"/>
          </w:tcPr>
          <w:p w:rsidR="001864C4" w:rsidRDefault="001864C4" w:rsidP="00023ABB"/>
        </w:tc>
      </w:tr>
    </w:tbl>
    <w:p w:rsidR="00D97C8E" w:rsidRDefault="006D082B" w:rsidP="001454EC">
      <w:pPr>
        <w:jc w:val="both"/>
      </w:pPr>
      <w:r>
        <w:t>A request</w:t>
      </w:r>
      <w:r w:rsidR="00D97C8E">
        <w:t xml:space="preserve"> for regrading must be provided in writing</w:t>
      </w:r>
      <w:r>
        <w:t>, stating where and why there is a problem,</w:t>
      </w:r>
      <w:r w:rsidR="00D97C8E">
        <w:t xml:space="preserve"> no later than one week after the exam or case</w:t>
      </w:r>
      <w:r w:rsidR="00FB5450">
        <w:t xml:space="preserve"> report</w:t>
      </w:r>
      <w:r w:rsidR="00D97C8E">
        <w:t xml:space="preserve"> is returned</w:t>
      </w:r>
      <w:r>
        <w:t>. The entire exam or case</w:t>
      </w:r>
      <w:r w:rsidR="00FB5450">
        <w:t xml:space="preserve"> report</w:t>
      </w:r>
      <w:r>
        <w:t xml:space="preserve"> will </w:t>
      </w:r>
      <w:r w:rsidR="00E274FF">
        <w:t xml:space="preserve">then </w:t>
      </w:r>
      <w:r>
        <w:t>be regraded.</w:t>
      </w:r>
    </w:p>
    <w:p w:rsidR="00456354" w:rsidRDefault="00456354" w:rsidP="000E767E"/>
    <w:p w:rsidR="008447F6" w:rsidRDefault="008447F6" w:rsidP="000E767E"/>
    <w:p w:rsidR="00B1799C" w:rsidRDefault="00B1799C" w:rsidP="000E767E"/>
    <w:p w:rsidR="008447F6" w:rsidRDefault="008447F6" w:rsidP="000E767E"/>
    <w:p w:rsidR="00417D73" w:rsidRDefault="00893E30" w:rsidP="00617310">
      <w:pPr>
        <w:rPr>
          <w:b/>
        </w:rPr>
      </w:pPr>
      <w:r>
        <w:rPr>
          <w:b/>
        </w:rPr>
        <w:t>Reading list</w:t>
      </w:r>
    </w:p>
    <w:p w:rsidR="005863AB" w:rsidRDefault="005863AB" w:rsidP="00617310">
      <w:pPr>
        <w:rPr>
          <w:b/>
        </w:rPr>
      </w:pPr>
    </w:p>
    <w:p w:rsidR="002403AF" w:rsidRDefault="00B25693" w:rsidP="00617310">
      <w:r>
        <w:t>Course pack</w:t>
      </w:r>
      <w:r w:rsidR="00B31605">
        <w:t>, available from Reprographics, containing articles and cases.</w:t>
      </w:r>
      <w:r w:rsidR="000021DB">
        <w:t xml:space="preserve"> (Table of contents below.)</w:t>
      </w:r>
    </w:p>
    <w:p w:rsidR="00893E30" w:rsidRPr="00EC7637" w:rsidRDefault="00AE18A2" w:rsidP="00C00AD8">
      <w:pPr>
        <w:jc w:val="both"/>
      </w:pPr>
      <w:r>
        <w:t>Brealey, Myers, and Allen,</w:t>
      </w:r>
      <w:r w:rsidR="00893E30">
        <w:t xml:space="preserve"> </w:t>
      </w:r>
      <w:r w:rsidR="00893E30">
        <w:rPr>
          <w:i/>
        </w:rPr>
        <w:t>Principles of Corporate Finance</w:t>
      </w:r>
      <w:r w:rsidR="00281251">
        <w:t xml:space="preserve"> 9</w:t>
      </w:r>
      <w:r w:rsidR="005863AB">
        <w:t>/e (BMA).</w:t>
      </w:r>
      <w:r w:rsidR="006F2F06">
        <w:t xml:space="preserve"> (</w:t>
      </w:r>
      <w:r w:rsidR="00714D5A">
        <w:t>Most earlier editions are fine substitutes.</w:t>
      </w:r>
      <w:r w:rsidR="006F2F06">
        <w:t>)</w:t>
      </w:r>
    </w:p>
    <w:p w:rsidR="00371993" w:rsidRDefault="00371993" w:rsidP="00E24074"/>
    <w:p w:rsidR="00B741FD" w:rsidRDefault="00B741FD" w:rsidP="00E24074">
      <w:pPr>
        <w:rPr>
          <w:b/>
        </w:rPr>
      </w:pPr>
      <w:r>
        <w:rPr>
          <w:b/>
        </w:rPr>
        <w:t>Class etiquette</w:t>
      </w:r>
    </w:p>
    <w:p w:rsidR="0089720F" w:rsidRDefault="0089720F" w:rsidP="00E24074"/>
    <w:p w:rsidR="000829E4" w:rsidRDefault="00B741FD" w:rsidP="00D31C62">
      <w:pPr>
        <w:jc w:val="both"/>
      </w:pPr>
      <w:r>
        <w:t>Please arrive on time and sta</w:t>
      </w:r>
      <w:r w:rsidR="004C7C70">
        <w:t>y for the durat</w:t>
      </w:r>
      <w:r w:rsidR="00E112AD">
        <w:t xml:space="preserve">ion of the class. If you are late or have to leave early, </w:t>
      </w:r>
      <w:r w:rsidR="004C7C70">
        <w:t xml:space="preserve">try to minimize the disruption </w:t>
      </w:r>
      <w:r w:rsidR="00E112AD">
        <w:t>to your fellow students.</w:t>
      </w:r>
      <w:r w:rsidR="005000AA">
        <w:t xml:space="preserve"> </w:t>
      </w:r>
      <w:r w:rsidR="009F2C18">
        <w:t>Also, t</w:t>
      </w:r>
      <w:r w:rsidR="00CE586E">
        <w:t>o help me get to know you, p</w:t>
      </w:r>
      <w:r w:rsidR="005000AA">
        <w:t xml:space="preserve">lease display a name card and </w:t>
      </w:r>
      <w:r w:rsidR="008752E4">
        <w:t>remain</w:t>
      </w:r>
      <w:r w:rsidR="005000AA">
        <w:t xml:space="preserve"> in the same seat</w:t>
      </w:r>
      <w:r w:rsidR="003D4E3F">
        <w:t xml:space="preserve"> and section</w:t>
      </w:r>
      <w:r w:rsidR="005000AA">
        <w:t xml:space="preserve"> for the entire semester.</w:t>
      </w:r>
    </w:p>
    <w:p w:rsidR="008E70E6" w:rsidRDefault="008E70E6" w:rsidP="00D31C62">
      <w:pPr>
        <w:jc w:val="both"/>
      </w:pPr>
    </w:p>
    <w:p w:rsidR="008E70E6" w:rsidRDefault="008E70E6" w:rsidP="00D31C62">
      <w:pPr>
        <w:jc w:val="both"/>
      </w:pPr>
      <w:r>
        <w:rPr>
          <w:b/>
        </w:rPr>
        <w:t>Prerequisites</w:t>
      </w:r>
    </w:p>
    <w:p w:rsidR="008E70E6" w:rsidRDefault="008E70E6" w:rsidP="00D31C62">
      <w:pPr>
        <w:jc w:val="both"/>
      </w:pPr>
    </w:p>
    <w:p w:rsidR="005B0729" w:rsidRDefault="004C7B2A" w:rsidP="00D31C62">
      <w:pPr>
        <w:jc w:val="both"/>
      </w:pPr>
      <w:r>
        <w:t>You</w:t>
      </w:r>
      <w:r w:rsidR="006706A1">
        <w:t xml:space="preserve"> should have passed </w:t>
      </w:r>
      <w:r w:rsidR="00D207AE">
        <w:t>ACCT 101</w:t>
      </w:r>
      <w:r>
        <w:t xml:space="preserve">/620 </w:t>
      </w:r>
      <w:r w:rsidR="006706A1">
        <w:t xml:space="preserve">and </w:t>
      </w:r>
      <w:r w:rsidR="00D207AE">
        <w:t>FNCE 100</w:t>
      </w:r>
      <w:r>
        <w:t>/601. You can take FNCE 101/602 and this course concurrently.</w:t>
      </w:r>
    </w:p>
    <w:p w:rsidR="00D207AE" w:rsidRDefault="00D207AE" w:rsidP="00D31C62">
      <w:pPr>
        <w:jc w:val="both"/>
      </w:pPr>
    </w:p>
    <w:p w:rsidR="00D207AE" w:rsidRPr="008E70E6" w:rsidRDefault="00D207AE" w:rsidP="00D31C62">
      <w:pPr>
        <w:jc w:val="both"/>
      </w:pPr>
    </w:p>
    <w:p w:rsidR="00976DB3" w:rsidRDefault="00D31C62">
      <w:r>
        <w:br w:type="page"/>
      </w:r>
    </w:p>
    <w:p w:rsidR="000829E4" w:rsidRDefault="000829E4" w:rsidP="00DA41B8">
      <w:r>
        <w:rPr>
          <w:b/>
        </w:rPr>
        <w:lastRenderedPageBreak/>
        <w:t>Class schedule</w:t>
      </w:r>
    </w:p>
    <w:p w:rsidR="005266AF" w:rsidRDefault="005266AF" w:rsidP="001454EC">
      <w:pPr>
        <w:jc w:val="both"/>
      </w:pPr>
    </w:p>
    <w:p w:rsidR="00B21B48" w:rsidRDefault="003D66E9" w:rsidP="0093425C">
      <w:pPr>
        <w:spacing w:after="120"/>
      </w:pPr>
      <w:r>
        <w:t>1/15</w:t>
      </w:r>
      <w:r w:rsidR="00B21B48">
        <w:tab/>
      </w:r>
      <w:r w:rsidR="00B21B48">
        <w:tab/>
      </w:r>
      <w:r w:rsidR="00B21B48" w:rsidRPr="00D871B5">
        <w:rPr>
          <w:b/>
        </w:rPr>
        <w:t>A Financial Model of the Firm</w:t>
      </w:r>
    </w:p>
    <w:p w:rsidR="00EB7840" w:rsidRDefault="00654798" w:rsidP="0093425C">
      <w:pPr>
        <w:spacing w:after="120"/>
        <w:ind w:left="1440"/>
      </w:pPr>
      <w:r>
        <w:t>BMA 2, 6-7 (2, 5-6 in 8/e)</w:t>
      </w:r>
      <w:r w:rsidR="00465763">
        <w:t>.</w:t>
      </w:r>
    </w:p>
    <w:p w:rsidR="00B21B48" w:rsidRPr="00694552" w:rsidRDefault="003D66E9" w:rsidP="0093425C">
      <w:pPr>
        <w:spacing w:after="120"/>
        <w:rPr>
          <w:b/>
        </w:rPr>
      </w:pPr>
      <w:r>
        <w:t>1/20, 1/22</w:t>
      </w:r>
      <w:r w:rsidR="00B21B48">
        <w:tab/>
      </w:r>
      <w:r w:rsidR="00B21B48" w:rsidRPr="00D871B5">
        <w:rPr>
          <w:b/>
        </w:rPr>
        <w:t>Valuation and the Cost of Capital</w:t>
      </w:r>
    </w:p>
    <w:p w:rsidR="00B21B48" w:rsidRDefault="00B21B48" w:rsidP="0093425C">
      <w:pPr>
        <w:spacing w:after="120"/>
        <w:ind w:left="1440"/>
      </w:pPr>
      <w:r>
        <w:t>BMA</w:t>
      </w:r>
      <w:r w:rsidRPr="005266AF">
        <w:t xml:space="preserve"> </w:t>
      </w:r>
      <w:r w:rsidR="00465763">
        <w:t>9-1</w:t>
      </w:r>
      <w:r w:rsidR="005B1AD6">
        <w:t>0</w:t>
      </w:r>
      <w:r w:rsidR="00465763">
        <w:t>, 20 (</w:t>
      </w:r>
      <w:r w:rsidRPr="005266AF">
        <w:t>8-9</w:t>
      </w:r>
      <w:r>
        <w:t>, 19</w:t>
      </w:r>
      <w:r w:rsidR="00465763">
        <w:t xml:space="preserve"> in 8/e)</w:t>
      </w:r>
      <w:r>
        <w:t>.</w:t>
      </w:r>
    </w:p>
    <w:p w:rsidR="007016EA" w:rsidRDefault="007016EA" w:rsidP="0093425C">
      <w:pPr>
        <w:spacing w:after="120"/>
        <w:ind w:left="1440"/>
      </w:pPr>
      <w:r w:rsidRPr="007016EA">
        <w:t xml:space="preserve">Benninga and Sarig, </w:t>
      </w:r>
      <w:r w:rsidRPr="007016EA">
        <w:rPr>
          <w:i/>
        </w:rPr>
        <w:t>Corporate Finance: A Valuation Approach</w:t>
      </w:r>
      <w:r w:rsidRPr="007016EA">
        <w:t>, Chapter 2, “Using Financial Reporting Information,” and Chapter 10, “Valuation by Multiples.”</w:t>
      </w:r>
    </w:p>
    <w:p w:rsidR="00B21B48" w:rsidRDefault="00B21B48" w:rsidP="0093425C">
      <w:pPr>
        <w:spacing w:after="120"/>
        <w:ind w:left="1440"/>
      </w:pPr>
      <w:r w:rsidRPr="005266AF">
        <w:t>Tully</w:t>
      </w:r>
      <w:r>
        <w:t>,</w:t>
      </w:r>
      <w:r w:rsidRPr="005266AF">
        <w:t xml:space="preserve"> “The Real Key to Creating Wealth,” </w:t>
      </w:r>
      <w:r w:rsidRPr="00232063">
        <w:rPr>
          <w:i/>
        </w:rPr>
        <w:t>Fortune</w:t>
      </w:r>
      <w:r w:rsidRPr="005266AF">
        <w:t xml:space="preserve">, </w:t>
      </w:r>
      <w:r>
        <w:t>September 20, 1993.</w:t>
      </w:r>
    </w:p>
    <w:p w:rsidR="00EB7840" w:rsidRPr="005266AF" w:rsidRDefault="00B21B48" w:rsidP="0093425C">
      <w:pPr>
        <w:spacing w:after="120"/>
        <w:ind w:left="1440"/>
      </w:pPr>
      <w:r>
        <w:t xml:space="preserve">Lowenstein, </w:t>
      </w:r>
      <w:r w:rsidRPr="005266AF">
        <w:t xml:space="preserve">“Rethinking the Latest Economic Elixir,” </w:t>
      </w:r>
      <w:r w:rsidRPr="00232063">
        <w:rPr>
          <w:i/>
        </w:rPr>
        <w:t>Wall Street Journal</w:t>
      </w:r>
      <w:r w:rsidRPr="001D3562">
        <w:t>,</w:t>
      </w:r>
      <w:r>
        <w:t xml:space="preserve"> </w:t>
      </w:r>
      <w:r w:rsidRPr="005266AF">
        <w:t>February 13, 1997</w:t>
      </w:r>
      <w:r>
        <w:t>.</w:t>
      </w:r>
    </w:p>
    <w:p w:rsidR="00EB7840" w:rsidRPr="005266AF" w:rsidRDefault="003D66E9" w:rsidP="0093425C">
      <w:pPr>
        <w:spacing w:after="120"/>
      </w:pPr>
      <w:r>
        <w:t>1/27, 1/29</w:t>
      </w:r>
      <w:r w:rsidR="00B21B48">
        <w:tab/>
      </w:r>
      <w:r w:rsidR="00B21B48" w:rsidRPr="00D65385">
        <w:rPr>
          <w:b/>
        </w:rPr>
        <w:t>Harris Seafoods, Inc.</w:t>
      </w:r>
      <w:r w:rsidR="00B21B48" w:rsidRPr="005266AF">
        <w:t xml:space="preserve"> (HBS # 281-054)</w:t>
      </w:r>
    </w:p>
    <w:p w:rsidR="00EB7840" w:rsidRDefault="003D66E9" w:rsidP="0093425C">
      <w:pPr>
        <w:spacing w:after="120"/>
      </w:pPr>
      <w:r>
        <w:t>2/3</w:t>
      </w:r>
      <w:r w:rsidR="00B21B48">
        <w:tab/>
      </w:r>
      <w:r w:rsidR="00B21B48">
        <w:tab/>
      </w:r>
      <w:r w:rsidR="00B21B48" w:rsidRPr="0046046C">
        <w:rPr>
          <w:b/>
        </w:rPr>
        <w:t>Marriott Corporation: The Cost of Capital</w:t>
      </w:r>
      <w:r w:rsidR="00B21B48" w:rsidRPr="005266AF">
        <w:t xml:space="preserve"> (HBS # 289-047)</w:t>
      </w:r>
    </w:p>
    <w:p w:rsidR="00B21B48" w:rsidRDefault="003D66E9" w:rsidP="0093425C">
      <w:pPr>
        <w:spacing w:after="120"/>
        <w:rPr>
          <w:b/>
        </w:rPr>
      </w:pPr>
      <w:r>
        <w:t>2/5</w:t>
      </w:r>
      <w:r w:rsidR="00B21B48">
        <w:tab/>
      </w:r>
      <w:r w:rsidR="00B21B48">
        <w:tab/>
      </w:r>
      <w:r w:rsidR="00B21B48" w:rsidRPr="004B78E2">
        <w:rPr>
          <w:b/>
        </w:rPr>
        <w:t>Leveraged Transactions and Distribution Policy</w:t>
      </w:r>
    </w:p>
    <w:p w:rsidR="00B21B48" w:rsidRPr="005266AF" w:rsidRDefault="00B21B48" w:rsidP="0093425C">
      <w:pPr>
        <w:spacing w:after="120"/>
        <w:ind w:left="1440"/>
      </w:pPr>
      <w:r>
        <w:t xml:space="preserve">BMA </w:t>
      </w:r>
      <w:r w:rsidR="005B1AD6">
        <w:t>17 (</w:t>
      </w:r>
      <w:r>
        <w:t>16</w:t>
      </w:r>
      <w:r w:rsidR="005B1AD6">
        <w:t xml:space="preserve"> in 8/e)</w:t>
      </w:r>
      <w:r>
        <w:t>.</w:t>
      </w:r>
    </w:p>
    <w:p w:rsidR="00514C6E" w:rsidRPr="008C27BC" w:rsidRDefault="00B21B48" w:rsidP="0093425C">
      <w:pPr>
        <w:spacing w:after="120"/>
        <w:ind w:left="1440"/>
      </w:pPr>
      <w:r w:rsidRPr="005266AF">
        <w:t xml:space="preserve">Inselbag and Kaufold, “How to Value Recapitalizations and Leveraged Buyouts,” </w:t>
      </w:r>
      <w:r w:rsidRPr="00232063">
        <w:rPr>
          <w:i/>
        </w:rPr>
        <w:t>Journal of Applied Corporate Finance</w:t>
      </w:r>
      <w:r>
        <w:t xml:space="preserve"> 1989.</w:t>
      </w:r>
    </w:p>
    <w:p w:rsidR="00514C6E" w:rsidRPr="005266AF" w:rsidRDefault="003D66E9" w:rsidP="0093425C">
      <w:pPr>
        <w:spacing w:after="120"/>
      </w:pPr>
      <w:r>
        <w:t>2/10, 2/12</w:t>
      </w:r>
      <w:r w:rsidR="00B21B48">
        <w:tab/>
      </w:r>
      <w:r w:rsidR="00B21B48" w:rsidRPr="00756524">
        <w:rPr>
          <w:b/>
        </w:rPr>
        <w:t>Congoleum Corporation</w:t>
      </w:r>
      <w:r w:rsidR="00B21B48" w:rsidRPr="005266AF">
        <w:t xml:space="preserve"> (HBS # 287-029</w:t>
      </w:r>
      <w:r w:rsidR="00B21B48">
        <w:t>)</w:t>
      </w:r>
    </w:p>
    <w:p w:rsidR="00B21B48" w:rsidRPr="0093425C" w:rsidRDefault="003D66E9" w:rsidP="0093425C">
      <w:pPr>
        <w:spacing w:after="120"/>
        <w:rPr>
          <w:b/>
        </w:rPr>
      </w:pPr>
      <w:r>
        <w:t>2/17, 2/19</w:t>
      </w:r>
      <w:r w:rsidR="00B21B48">
        <w:tab/>
      </w:r>
      <w:r w:rsidR="00B21B48" w:rsidRPr="003D59EB">
        <w:rPr>
          <w:b/>
        </w:rPr>
        <w:t>Capital Structure Theory</w:t>
      </w:r>
    </w:p>
    <w:p w:rsidR="00B21B48" w:rsidRPr="005266AF" w:rsidRDefault="00B21B48" w:rsidP="0093425C">
      <w:pPr>
        <w:spacing w:after="120"/>
        <w:ind w:left="1440"/>
      </w:pPr>
      <w:r>
        <w:t>BMA</w:t>
      </w:r>
      <w:r w:rsidRPr="005266AF">
        <w:t xml:space="preserve"> </w:t>
      </w:r>
      <w:r w:rsidR="00207D65">
        <w:t>18-19, 24, 33.4 (17-18, 24, 33.4 in 8/e).</w:t>
      </w:r>
    </w:p>
    <w:p w:rsidR="00B21B48" w:rsidRPr="005266AF" w:rsidRDefault="00B21B48" w:rsidP="0093425C">
      <w:pPr>
        <w:spacing w:after="120"/>
        <w:ind w:left="1440"/>
      </w:pPr>
      <w:r w:rsidRPr="005266AF">
        <w:t xml:space="preserve">Gifford, “After the Revolution,” </w:t>
      </w:r>
      <w:r w:rsidRPr="00232063">
        <w:rPr>
          <w:i/>
        </w:rPr>
        <w:t>CFO Magazine</w:t>
      </w:r>
      <w:r>
        <w:t>,</w:t>
      </w:r>
      <w:r w:rsidRPr="00086884">
        <w:t xml:space="preserve"> </w:t>
      </w:r>
      <w:r w:rsidRPr="005266AF">
        <w:t>July 1998</w:t>
      </w:r>
      <w:r>
        <w:t>.</w:t>
      </w:r>
    </w:p>
    <w:p w:rsidR="00514C6E" w:rsidRDefault="00B21B48" w:rsidP="0093425C">
      <w:pPr>
        <w:spacing w:after="120"/>
        <w:ind w:left="1440"/>
      </w:pPr>
      <w:r w:rsidRPr="005266AF">
        <w:t xml:space="preserve">Barclay and Smith, "The capital structure puzzle: Another look at the evidence," </w:t>
      </w:r>
      <w:r w:rsidRPr="00232063">
        <w:rPr>
          <w:i/>
        </w:rPr>
        <w:t>Journal of Applied Corporate Finance</w:t>
      </w:r>
      <w:r w:rsidRPr="005266AF">
        <w:t xml:space="preserve">, </w:t>
      </w:r>
      <w:r>
        <w:t>1999.</w:t>
      </w:r>
    </w:p>
    <w:p w:rsidR="00514C6E" w:rsidRPr="002535E2" w:rsidRDefault="008B3AA4" w:rsidP="0093425C">
      <w:pPr>
        <w:spacing w:after="120"/>
        <w:rPr>
          <w:b/>
        </w:rPr>
      </w:pPr>
      <w:r>
        <w:t>2/24</w:t>
      </w:r>
      <w:r w:rsidR="00B21B48">
        <w:tab/>
      </w:r>
      <w:r w:rsidR="00B21B48">
        <w:tab/>
      </w:r>
      <w:r w:rsidR="00BB6490">
        <w:rPr>
          <w:b/>
        </w:rPr>
        <w:t>Exam review I</w:t>
      </w:r>
    </w:p>
    <w:p w:rsidR="00514C6E" w:rsidRPr="0093425C" w:rsidRDefault="008B3AA4" w:rsidP="0093425C">
      <w:pPr>
        <w:spacing w:after="120"/>
        <w:rPr>
          <w:b/>
        </w:rPr>
      </w:pPr>
      <w:r>
        <w:t>2/26</w:t>
      </w:r>
      <w:r w:rsidR="00B21B48">
        <w:tab/>
      </w:r>
      <w:r w:rsidR="00B21B48" w:rsidRPr="005266AF">
        <w:tab/>
      </w:r>
      <w:r w:rsidR="00B21B48" w:rsidRPr="002C2B9A">
        <w:rPr>
          <w:b/>
        </w:rPr>
        <w:t>Exam I</w:t>
      </w:r>
      <w:r w:rsidR="00B21B48" w:rsidRPr="005266AF">
        <w:t xml:space="preserve"> </w:t>
      </w:r>
      <w:r w:rsidR="00D97378">
        <w:t>(</w:t>
      </w:r>
      <w:r w:rsidR="00BB6490">
        <w:t>during class time</w:t>
      </w:r>
      <w:r w:rsidR="00D97378">
        <w:t>)</w:t>
      </w:r>
    </w:p>
    <w:p w:rsidR="00514C6E" w:rsidRDefault="008B3AA4" w:rsidP="0093425C">
      <w:pPr>
        <w:spacing w:after="120"/>
      </w:pPr>
      <w:r>
        <w:t>3/3, 3/5</w:t>
      </w:r>
      <w:r w:rsidR="00B21B48">
        <w:tab/>
      </w:r>
      <w:r w:rsidR="00B21B48" w:rsidRPr="002C2B9A">
        <w:rPr>
          <w:b/>
        </w:rPr>
        <w:t>American Home Products Corporation</w:t>
      </w:r>
      <w:r w:rsidR="00B21B48" w:rsidRPr="005266AF">
        <w:t xml:space="preserve"> (HBS # 283-065)</w:t>
      </w:r>
    </w:p>
    <w:p w:rsidR="00514C6E" w:rsidRPr="0093425C" w:rsidRDefault="008B3AA4" w:rsidP="0093425C">
      <w:pPr>
        <w:spacing w:after="120"/>
        <w:rPr>
          <w:b/>
        </w:rPr>
      </w:pPr>
      <w:r>
        <w:t>3/10, 3/12</w:t>
      </w:r>
      <w:r w:rsidR="00B21B48">
        <w:tab/>
      </w:r>
      <w:r w:rsidR="00B21B48">
        <w:rPr>
          <w:b/>
        </w:rPr>
        <w:t>Spring break</w:t>
      </w:r>
    </w:p>
    <w:p w:rsidR="00D2282B" w:rsidRDefault="00D2282B" w:rsidP="0093425C">
      <w:pPr>
        <w:spacing w:after="120"/>
      </w:pPr>
    </w:p>
    <w:p w:rsidR="00D2282B" w:rsidRDefault="00D2282B" w:rsidP="0093425C">
      <w:pPr>
        <w:spacing w:after="120"/>
      </w:pPr>
    </w:p>
    <w:p w:rsidR="007B4587" w:rsidRDefault="007B4587" w:rsidP="0093425C">
      <w:pPr>
        <w:spacing w:after="120"/>
      </w:pPr>
    </w:p>
    <w:p w:rsidR="007B4587" w:rsidRDefault="007B4587" w:rsidP="0093425C">
      <w:pPr>
        <w:spacing w:after="120"/>
      </w:pPr>
    </w:p>
    <w:p w:rsidR="00D2282B" w:rsidRDefault="00D2282B" w:rsidP="0093425C">
      <w:pPr>
        <w:spacing w:after="120"/>
      </w:pPr>
    </w:p>
    <w:p w:rsidR="00D2282B" w:rsidRDefault="00D2282B" w:rsidP="0093425C">
      <w:pPr>
        <w:spacing w:after="120"/>
      </w:pPr>
    </w:p>
    <w:p w:rsidR="00D2282B" w:rsidRDefault="00D2282B" w:rsidP="0093425C">
      <w:pPr>
        <w:spacing w:after="120"/>
      </w:pPr>
    </w:p>
    <w:p w:rsidR="00B21B48" w:rsidRPr="0093425C" w:rsidRDefault="009B6C1E" w:rsidP="0093425C">
      <w:pPr>
        <w:spacing w:after="120"/>
        <w:rPr>
          <w:b/>
        </w:rPr>
      </w:pPr>
      <w:r>
        <w:lastRenderedPageBreak/>
        <w:t>3/17, 3/19</w:t>
      </w:r>
      <w:r w:rsidR="00B21B48">
        <w:tab/>
      </w:r>
      <w:r w:rsidR="00B21B48" w:rsidRPr="00722551">
        <w:rPr>
          <w:b/>
        </w:rPr>
        <w:t>Options, Warrants, and Convertibles</w:t>
      </w:r>
    </w:p>
    <w:p w:rsidR="00B21B48" w:rsidRPr="005266AF" w:rsidRDefault="00B21B48" w:rsidP="0093425C">
      <w:pPr>
        <w:spacing w:after="120"/>
        <w:ind w:left="1440"/>
      </w:pPr>
      <w:r>
        <w:t>BMA</w:t>
      </w:r>
      <w:r w:rsidRPr="005266AF">
        <w:t xml:space="preserve"> </w:t>
      </w:r>
      <w:r w:rsidR="0017300F">
        <w:t>21-23, 25.6 (20-22, 25.6 in 8/e).</w:t>
      </w:r>
    </w:p>
    <w:p w:rsidR="00B21B48" w:rsidRPr="005266AF" w:rsidRDefault="00B21B48" w:rsidP="0093425C">
      <w:pPr>
        <w:spacing w:after="120"/>
        <w:ind w:left="1440"/>
      </w:pPr>
      <w:r w:rsidRPr="005266AF">
        <w:t xml:space="preserve">Brennan and Schwartz, “The Case for Convertibles,” in Chew, ed., </w:t>
      </w:r>
      <w:r w:rsidRPr="00232063">
        <w:rPr>
          <w:i/>
        </w:rPr>
        <w:t>The New Corporate Finance: Where Theory Meets Practice</w:t>
      </w:r>
      <w:r w:rsidRPr="005266AF">
        <w:t>.</w:t>
      </w:r>
    </w:p>
    <w:p w:rsidR="001173A8" w:rsidRPr="005266AF" w:rsidRDefault="00B21B48" w:rsidP="008F004E">
      <w:pPr>
        <w:spacing w:after="120"/>
        <w:ind w:left="1440"/>
      </w:pPr>
      <w:r w:rsidRPr="005266AF">
        <w:t xml:space="preserve">Jen, Choi, and Lee, “Some New Evidence of Why Companies Use Convertible Bonds,” </w:t>
      </w:r>
      <w:r w:rsidRPr="00232063">
        <w:rPr>
          <w:i/>
        </w:rPr>
        <w:t>Journal of Applied Corporate Finance</w:t>
      </w:r>
      <w:r w:rsidRPr="005266AF">
        <w:t xml:space="preserve">, </w:t>
      </w:r>
      <w:r>
        <w:t>Spring 1997.</w:t>
      </w:r>
    </w:p>
    <w:p w:rsidR="00781E4C" w:rsidRPr="005266AF" w:rsidRDefault="00781E4C" w:rsidP="00781E4C">
      <w:pPr>
        <w:spacing w:after="120"/>
      </w:pPr>
      <w:r>
        <w:t>3/</w:t>
      </w:r>
      <w:r w:rsidR="00927FD4">
        <w:t>24</w:t>
      </w:r>
      <w:r>
        <w:tab/>
      </w:r>
      <w:r>
        <w:tab/>
      </w:r>
      <w:r w:rsidRPr="00F10B4D">
        <w:rPr>
          <w:b/>
        </w:rPr>
        <w:t>Corning Inc.</w:t>
      </w:r>
      <w:r w:rsidRPr="005266AF">
        <w:t xml:space="preserve"> (UVA-F-1339 v. 2.6)</w:t>
      </w:r>
    </w:p>
    <w:p w:rsidR="00781E4C" w:rsidRPr="0093425C" w:rsidRDefault="00781E4C" w:rsidP="00781E4C">
      <w:pPr>
        <w:spacing w:after="120"/>
        <w:rPr>
          <w:b/>
        </w:rPr>
      </w:pPr>
      <w:r>
        <w:t>3/</w:t>
      </w:r>
      <w:r w:rsidR="00927FD4">
        <w:t>26</w:t>
      </w:r>
      <w:r>
        <w:tab/>
      </w:r>
      <w:r>
        <w:tab/>
      </w:r>
      <w:r w:rsidRPr="007708F1">
        <w:rPr>
          <w:b/>
        </w:rPr>
        <w:t>Leasing</w:t>
      </w:r>
    </w:p>
    <w:p w:rsidR="00781E4C" w:rsidRDefault="00781E4C" w:rsidP="00781E4C">
      <w:pPr>
        <w:spacing w:after="120"/>
        <w:ind w:left="1440"/>
      </w:pPr>
      <w:r>
        <w:t>BMA</w:t>
      </w:r>
      <w:r w:rsidRPr="005266AF">
        <w:t xml:space="preserve"> 26.</w:t>
      </w:r>
    </w:p>
    <w:p w:rsidR="00B21B48" w:rsidRPr="0093425C" w:rsidRDefault="00927FD4" w:rsidP="0093425C">
      <w:pPr>
        <w:spacing w:after="120"/>
        <w:rPr>
          <w:b/>
        </w:rPr>
      </w:pPr>
      <w:r>
        <w:t>3/31, 4/2</w:t>
      </w:r>
      <w:r w:rsidR="00B21B48">
        <w:tab/>
      </w:r>
      <w:r w:rsidR="00B21B48" w:rsidRPr="00784874">
        <w:rPr>
          <w:b/>
        </w:rPr>
        <w:t>Mergers and Acquisitions</w:t>
      </w:r>
    </w:p>
    <w:p w:rsidR="00B21B48" w:rsidRPr="005266AF" w:rsidRDefault="00B21B48" w:rsidP="0093425C">
      <w:pPr>
        <w:spacing w:after="120"/>
        <w:ind w:left="1440"/>
      </w:pPr>
      <w:r>
        <w:t>BMA</w:t>
      </w:r>
      <w:r w:rsidR="00EA5DA1">
        <w:t xml:space="preserve"> 32</w:t>
      </w:r>
    </w:p>
    <w:p w:rsidR="00B21B48" w:rsidRPr="005266AF" w:rsidRDefault="00B21B48" w:rsidP="0093425C">
      <w:pPr>
        <w:spacing w:after="120"/>
        <w:ind w:left="1440"/>
      </w:pPr>
      <w:r w:rsidRPr="005266AF">
        <w:t xml:space="preserve">Jensen, “The Takeover Controversy: Analysis and Evidence,” </w:t>
      </w:r>
      <w:r w:rsidRPr="00232063">
        <w:rPr>
          <w:i/>
        </w:rPr>
        <w:t>Midland Corporate Finance Journal</w:t>
      </w:r>
      <w:r w:rsidRPr="005266AF">
        <w:t>, Summer 1986.</w:t>
      </w:r>
    </w:p>
    <w:p w:rsidR="00B21B48" w:rsidRPr="005266AF" w:rsidRDefault="00B21B48" w:rsidP="0093425C">
      <w:pPr>
        <w:spacing w:after="120"/>
        <w:ind w:left="1440"/>
      </w:pPr>
      <w:r w:rsidRPr="005266AF">
        <w:t xml:space="preserve">Franks, “Mergers and Acquisitions: A Study of Shareholders’ Gains and Losses,” </w:t>
      </w:r>
      <w:r w:rsidRPr="00232063">
        <w:rPr>
          <w:i/>
        </w:rPr>
        <w:t>London Business School Journal</w:t>
      </w:r>
      <w:r w:rsidRPr="005266AF">
        <w:t>, Summer 1988.</w:t>
      </w:r>
    </w:p>
    <w:p w:rsidR="00514C6E" w:rsidRDefault="00B21B48" w:rsidP="0093425C">
      <w:pPr>
        <w:spacing w:after="120"/>
        <w:ind w:left="1440"/>
      </w:pPr>
      <w:r w:rsidRPr="005266AF">
        <w:t xml:space="preserve">Lowenstein, “Why All Takeovers Aren’t Created Equal” </w:t>
      </w:r>
      <w:r w:rsidRPr="00232063">
        <w:rPr>
          <w:i/>
        </w:rPr>
        <w:t>Wall Street Journal</w:t>
      </w:r>
      <w:r>
        <w:t>,</w:t>
      </w:r>
      <w:r w:rsidRPr="005266AF">
        <w:t xml:space="preserve"> March 6, 1997</w:t>
      </w:r>
      <w:r>
        <w:t>.</w:t>
      </w:r>
    </w:p>
    <w:p w:rsidR="00514C6E" w:rsidRDefault="00C820FC" w:rsidP="0093425C">
      <w:pPr>
        <w:spacing w:after="120"/>
      </w:pPr>
      <w:r>
        <w:t>4/7</w:t>
      </w:r>
      <w:r w:rsidR="00781E4C">
        <w:tab/>
      </w:r>
      <w:r w:rsidR="00B21B48">
        <w:tab/>
      </w:r>
      <w:r w:rsidR="00B21B48" w:rsidRPr="00F03526">
        <w:rPr>
          <w:b/>
        </w:rPr>
        <w:t>Kennecott Copper Corporation</w:t>
      </w:r>
      <w:r w:rsidR="00B21B48" w:rsidRPr="00F03526">
        <w:t xml:space="preserve"> (HBS</w:t>
      </w:r>
      <w:r w:rsidR="00B21B48" w:rsidRPr="005266AF">
        <w:t xml:space="preserve"> # 278-143)</w:t>
      </w:r>
    </w:p>
    <w:p w:rsidR="00C820FC" w:rsidRPr="0093425C" w:rsidRDefault="00C820FC" w:rsidP="00C820FC">
      <w:pPr>
        <w:spacing w:after="120"/>
        <w:rPr>
          <w:b/>
        </w:rPr>
      </w:pPr>
      <w:r>
        <w:t>4/9</w:t>
      </w:r>
      <w:r>
        <w:tab/>
      </w:r>
      <w:r>
        <w:tab/>
      </w:r>
      <w:r>
        <w:rPr>
          <w:b/>
        </w:rPr>
        <w:t>Exam review II</w:t>
      </w:r>
    </w:p>
    <w:p w:rsidR="00781E4C" w:rsidRPr="005266AF" w:rsidRDefault="00C820FC" w:rsidP="00C820FC">
      <w:pPr>
        <w:spacing w:after="120"/>
      </w:pPr>
      <w:r>
        <w:t>4/14</w:t>
      </w:r>
      <w:r w:rsidR="00781E4C">
        <w:tab/>
      </w:r>
      <w:r w:rsidR="00781E4C">
        <w:tab/>
      </w:r>
      <w:r w:rsidRPr="002B5FC1">
        <w:rPr>
          <w:b/>
        </w:rPr>
        <w:t>Exam II</w:t>
      </w:r>
      <w:r w:rsidRPr="005266AF">
        <w:t xml:space="preserve">  (</w:t>
      </w:r>
      <w:r>
        <w:t>during class time)</w:t>
      </w:r>
    </w:p>
    <w:p w:rsidR="00C820FC" w:rsidRDefault="00C820FC" w:rsidP="00C820FC">
      <w:pPr>
        <w:spacing w:after="120"/>
      </w:pPr>
      <w:r>
        <w:t>4/16</w:t>
      </w:r>
      <w:r w:rsidR="00B21B48">
        <w:tab/>
      </w:r>
      <w:r w:rsidR="00B21B48">
        <w:tab/>
      </w:r>
      <w:r w:rsidRPr="00D62C8B">
        <w:rPr>
          <w:b/>
        </w:rPr>
        <w:t>Aberlyn Capital Management</w:t>
      </w:r>
      <w:r w:rsidRPr="005266AF">
        <w:t xml:space="preserve"> (HBS # 294-083) </w:t>
      </w:r>
    </w:p>
    <w:p w:rsidR="00514C6E" w:rsidRPr="005266AF" w:rsidRDefault="00C820FC" w:rsidP="00C820FC">
      <w:pPr>
        <w:spacing w:after="120"/>
        <w:ind w:left="1440"/>
      </w:pPr>
      <w:r>
        <w:t>“</w:t>
      </w:r>
      <w:r w:rsidRPr="005266AF">
        <w:t xml:space="preserve">A Note on the Venture Leasing Industry,” </w:t>
      </w:r>
      <w:r>
        <w:t>(</w:t>
      </w:r>
      <w:r w:rsidRPr="005266AF">
        <w:t xml:space="preserve">HBS </w:t>
      </w:r>
      <w:r>
        <w:t>#</w:t>
      </w:r>
      <w:r w:rsidRPr="005266AF">
        <w:t xml:space="preserve"> 294-069</w:t>
      </w:r>
      <w:r>
        <w:t>)</w:t>
      </w:r>
      <w:r w:rsidRPr="005266AF">
        <w:t>.</w:t>
      </w:r>
    </w:p>
    <w:p w:rsidR="00B21B48" w:rsidRDefault="00C820FC" w:rsidP="0093425C">
      <w:pPr>
        <w:spacing w:after="120"/>
        <w:jc w:val="both"/>
      </w:pPr>
      <w:r>
        <w:t>4/21, 4/23</w:t>
      </w:r>
      <w:r w:rsidR="00B21B48">
        <w:tab/>
      </w:r>
      <w:r w:rsidR="00B21B48" w:rsidRPr="00F03526">
        <w:rPr>
          <w:b/>
        </w:rPr>
        <w:t>The Acquisition of Consolidated Rail Corporation</w:t>
      </w:r>
      <w:r w:rsidR="00B21B48">
        <w:rPr>
          <w:b/>
        </w:rPr>
        <w:t xml:space="preserve"> </w:t>
      </w:r>
      <w:r w:rsidR="00B21B48" w:rsidRPr="005266AF">
        <w:t>(HBS # 298-006</w:t>
      </w:r>
      <w:r w:rsidR="00B21B48">
        <w:t>/095)</w:t>
      </w:r>
    </w:p>
    <w:p w:rsidR="00F92830" w:rsidRDefault="00F92830">
      <w:r>
        <w:br w:type="page"/>
      </w:r>
    </w:p>
    <w:p w:rsidR="00E03C84" w:rsidRDefault="00B25693" w:rsidP="00A547AA">
      <w:pPr>
        <w:rPr>
          <w:b/>
        </w:rPr>
      </w:pPr>
      <w:r>
        <w:rPr>
          <w:b/>
        </w:rPr>
        <w:lastRenderedPageBreak/>
        <w:t>Course pack</w:t>
      </w:r>
      <w:r w:rsidR="00645DCC">
        <w:rPr>
          <w:b/>
        </w:rPr>
        <w:t xml:space="preserve"> contents</w:t>
      </w:r>
    </w:p>
    <w:p w:rsidR="00CF414E" w:rsidRDefault="00CF414E" w:rsidP="00A547AA">
      <w:pPr>
        <w:rPr>
          <w:b/>
        </w:rPr>
      </w:pPr>
    </w:p>
    <w:p w:rsidR="00B21B48" w:rsidRPr="00CF414E" w:rsidRDefault="00E03C84" w:rsidP="00CF414E">
      <w:pPr>
        <w:spacing w:after="120"/>
        <w:rPr>
          <w:u w:val="single"/>
        </w:rPr>
      </w:pPr>
      <w:r>
        <w:rPr>
          <w:u w:val="single"/>
        </w:rPr>
        <w:t>Textbook chapters, articles, and notes</w:t>
      </w:r>
    </w:p>
    <w:p w:rsidR="00B21B48" w:rsidRDefault="00B21B48" w:rsidP="00CF414E">
      <w:pPr>
        <w:spacing w:after="120"/>
      </w:pPr>
      <w:r w:rsidRPr="005266AF">
        <w:t>Benninga and Sarig</w:t>
      </w:r>
      <w:r>
        <w:t>,</w:t>
      </w:r>
      <w:r w:rsidRPr="005266AF">
        <w:t xml:space="preserve"> </w:t>
      </w:r>
      <w:r w:rsidRPr="00660CCB">
        <w:rPr>
          <w:i/>
        </w:rPr>
        <w:t>Corporate Finance: A Valuation Approach</w:t>
      </w:r>
      <w:r w:rsidRPr="005266AF">
        <w:t xml:space="preserve">, </w:t>
      </w:r>
      <w:r>
        <w:t>Ch</w:t>
      </w:r>
      <w:r w:rsidR="00551246">
        <w:t>apter</w:t>
      </w:r>
      <w:r>
        <w:t xml:space="preserve"> </w:t>
      </w:r>
      <w:r w:rsidRPr="005266AF">
        <w:t>2</w:t>
      </w:r>
      <w:r w:rsidR="00E32D4E">
        <w:t>, “Using Financial Reporting Information,”</w:t>
      </w:r>
      <w:r w:rsidR="00551246">
        <w:t xml:space="preserve"> and Chapter</w:t>
      </w:r>
      <w:r>
        <w:t xml:space="preserve"> 10</w:t>
      </w:r>
      <w:r w:rsidR="00E32D4E">
        <w:t>, “Valuation by Multiples</w:t>
      </w:r>
      <w:r>
        <w:t>.</w:t>
      </w:r>
      <w:r w:rsidR="00E32D4E">
        <w:t>”</w:t>
      </w:r>
    </w:p>
    <w:p w:rsidR="00B21B48" w:rsidRDefault="00B21B48" w:rsidP="00CF414E">
      <w:pPr>
        <w:spacing w:after="120"/>
      </w:pPr>
      <w:r w:rsidRPr="005266AF">
        <w:t>Tully</w:t>
      </w:r>
      <w:r>
        <w:t>,</w:t>
      </w:r>
      <w:r w:rsidRPr="005266AF">
        <w:t xml:space="preserve"> “</w:t>
      </w:r>
      <w:r w:rsidRPr="00366243">
        <w:t>The Real Key to Creating Wealth</w:t>
      </w:r>
      <w:r w:rsidRPr="005266AF">
        <w:t xml:space="preserve">,” </w:t>
      </w:r>
      <w:r w:rsidRPr="00660CCB">
        <w:rPr>
          <w:i/>
        </w:rPr>
        <w:t>Fortune</w:t>
      </w:r>
      <w:r w:rsidRPr="005266AF">
        <w:t xml:space="preserve">, </w:t>
      </w:r>
      <w:r>
        <w:t>September 20, 1993.</w:t>
      </w:r>
    </w:p>
    <w:p w:rsidR="00B21B48" w:rsidRPr="005266AF" w:rsidRDefault="00B21B48" w:rsidP="00CF414E">
      <w:pPr>
        <w:spacing w:after="120"/>
      </w:pPr>
      <w:r>
        <w:t xml:space="preserve">Lowenstein, </w:t>
      </w:r>
      <w:r w:rsidRPr="005266AF">
        <w:t>“</w:t>
      </w:r>
      <w:r w:rsidR="00FB4ABD" w:rsidRPr="00366243">
        <w:t>Rethinking the Latest Economic Elixir</w:t>
      </w:r>
      <w:r w:rsidRPr="005266AF">
        <w:t xml:space="preserve">,” </w:t>
      </w:r>
      <w:r w:rsidRPr="00660CCB">
        <w:rPr>
          <w:i/>
        </w:rPr>
        <w:t>Wall Street Journal</w:t>
      </w:r>
      <w:r w:rsidRPr="001D3562">
        <w:t>,</w:t>
      </w:r>
      <w:r>
        <w:t xml:space="preserve"> </w:t>
      </w:r>
      <w:r w:rsidRPr="005266AF">
        <w:t>February 13, 1997</w:t>
      </w:r>
      <w:r>
        <w:t>.</w:t>
      </w:r>
    </w:p>
    <w:p w:rsidR="00B21B48" w:rsidRPr="008C27BC" w:rsidRDefault="00B21B48" w:rsidP="00660CCB">
      <w:pPr>
        <w:spacing w:after="120"/>
      </w:pPr>
      <w:r w:rsidRPr="005266AF">
        <w:t xml:space="preserve">Inselbag and Kaufold, “How to Value Recapitalizations and Leveraged Buyouts,” </w:t>
      </w:r>
      <w:r w:rsidRPr="00660CCB">
        <w:rPr>
          <w:i/>
        </w:rPr>
        <w:t>Journal of Applied Corporate Finance</w:t>
      </w:r>
      <w:r>
        <w:t xml:space="preserve"> 1989.</w:t>
      </w:r>
    </w:p>
    <w:p w:rsidR="00B21B48" w:rsidRPr="005266AF" w:rsidRDefault="00B21B48" w:rsidP="00660CCB">
      <w:pPr>
        <w:spacing w:after="120"/>
      </w:pPr>
      <w:r w:rsidRPr="005266AF">
        <w:t>Gifford, “</w:t>
      </w:r>
      <w:r w:rsidRPr="00366243">
        <w:t>After the Revolution</w:t>
      </w:r>
      <w:r w:rsidRPr="005266AF">
        <w:t xml:space="preserve">,” </w:t>
      </w:r>
      <w:r w:rsidR="000E5F46">
        <w:rPr>
          <w:i/>
        </w:rPr>
        <w:t>CFO</w:t>
      </w:r>
      <w:r>
        <w:t>,</w:t>
      </w:r>
      <w:r w:rsidRPr="00086884">
        <w:t xml:space="preserve"> </w:t>
      </w:r>
      <w:r w:rsidRPr="005266AF">
        <w:t>July 1998</w:t>
      </w:r>
      <w:r>
        <w:t>.</w:t>
      </w:r>
    </w:p>
    <w:p w:rsidR="00B21B48" w:rsidRDefault="00B21B48" w:rsidP="00660CCB">
      <w:pPr>
        <w:spacing w:after="120"/>
      </w:pPr>
      <w:r w:rsidRPr="005266AF">
        <w:t xml:space="preserve">Barclay and Smith, "The capital structure puzzle: Another look at the evidence," </w:t>
      </w:r>
      <w:r w:rsidRPr="00660CCB">
        <w:rPr>
          <w:i/>
        </w:rPr>
        <w:t>Journal of Applied Corporate Finance</w:t>
      </w:r>
      <w:r w:rsidRPr="005266AF">
        <w:t xml:space="preserve">, </w:t>
      </w:r>
      <w:r>
        <w:t>1999.</w:t>
      </w:r>
    </w:p>
    <w:p w:rsidR="00B21B48" w:rsidRPr="005266AF" w:rsidRDefault="00B21B48" w:rsidP="00660CCB">
      <w:pPr>
        <w:spacing w:after="120"/>
      </w:pPr>
      <w:r w:rsidRPr="005266AF">
        <w:t xml:space="preserve">Brennan and Schwartz, “The Case for Convertibles,” in Chew, ed., </w:t>
      </w:r>
      <w:r w:rsidRPr="00660CCB">
        <w:rPr>
          <w:i/>
        </w:rPr>
        <w:t>The New Corporate Finance: Where Theory Meets Practice</w:t>
      </w:r>
      <w:r w:rsidRPr="005266AF">
        <w:t>.</w:t>
      </w:r>
    </w:p>
    <w:p w:rsidR="00B21B48" w:rsidRDefault="00B21B48" w:rsidP="00660CCB">
      <w:pPr>
        <w:spacing w:after="120"/>
      </w:pPr>
      <w:r w:rsidRPr="005266AF">
        <w:t xml:space="preserve">Jen, Choi, and Lee, “Some New Evidence of Why Companies Use Convertible Bonds,” </w:t>
      </w:r>
      <w:r w:rsidRPr="00660CCB">
        <w:rPr>
          <w:i/>
        </w:rPr>
        <w:t>Journal of Applied Corporate Finance</w:t>
      </w:r>
      <w:r w:rsidRPr="005266AF">
        <w:t xml:space="preserve">, </w:t>
      </w:r>
      <w:r>
        <w:t>Spring 1997.</w:t>
      </w:r>
    </w:p>
    <w:p w:rsidR="00B21B48" w:rsidRPr="005266AF" w:rsidRDefault="00B21B48" w:rsidP="00660CCB">
      <w:pPr>
        <w:spacing w:after="120"/>
      </w:pPr>
      <w:r>
        <w:t>“</w:t>
      </w:r>
      <w:r w:rsidRPr="005266AF">
        <w:t xml:space="preserve">A Note on the Venture Leasing Industry,” </w:t>
      </w:r>
      <w:r>
        <w:t>(</w:t>
      </w:r>
      <w:r w:rsidRPr="005266AF">
        <w:t xml:space="preserve">HBS </w:t>
      </w:r>
      <w:r>
        <w:t>#</w:t>
      </w:r>
      <w:r w:rsidRPr="005266AF">
        <w:t xml:space="preserve"> 294-069</w:t>
      </w:r>
      <w:r>
        <w:t>)</w:t>
      </w:r>
      <w:r w:rsidRPr="005266AF">
        <w:t>.</w:t>
      </w:r>
    </w:p>
    <w:p w:rsidR="00B21B48" w:rsidRPr="005266AF" w:rsidRDefault="00B21B48" w:rsidP="00CF414E">
      <w:pPr>
        <w:spacing w:after="120"/>
      </w:pPr>
      <w:r w:rsidRPr="005266AF">
        <w:t xml:space="preserve">Jensen, “The Takeover Controversy: Analysis and Evidence,” </w:t>
      </w:r>
      <w:r w:rsidRPr="00660CCB">
        <w:rPr>
          <w:i/>
        </w:rPr>
        <w:t>Midland Corporate Finance Journal</w:t>
      </w:r>
      <w:r w:rsidRPr="005266AF">
        <w:t>, Summer 1986.</w:t>
      </w:r>
    </w:p>
    <w:p w:rsidR="00B21B48" w:rsidRPr="005266AF" w:rsidRDefault="00B21B48" w:rsidP="00CF414E">
      <w:pPr>
        <w:spacing w:after="120"/>
      </w:pPr>
      <w:r w:rsidRPr="005266AF">
        <w:t xml:space="preserve">Franks, “Mergers and Acquisitions: A Study of Shareholders’ Gains and Losses,” </w:t>
      </w:r>
      <w:r w:rsidRPr="00660CCB">
        <w:rPr>
          <w:i/>
        </w:rPr>
        <w:t>London Business School Journal</w:t>
      </w:r>
      <w:r w:rsidRPr="005266AF">
        <w:t>, Summer 1988.</w:t>
      </w:r>
    </w:p>
    <w:p w:rsidR="00E03C84" w:rsidRDefault="00B21B48" w:rsidP="00CF414E">
      <w:pPr>
        <w:spacing w:after="120"/>
      </w:pPr>
      <w:r w:rsidRPr="005266AF">
        <w:t>Lowenstein, “</w:t>
      </w:r>
      <w:r w:rsidRPr="00366243">
        <w:t>Why All Takeovers Aren’t Created Equal</w:t>
      </w:r>
      <w:r w:rsidRPr="005266AF">
        <w:t xml:space="preserve">” </w:t>
      </w:r>
      <w:r w:rsidRPr="00660CCB">
        <w:rPr>
          <w:i/>
        </w:rPr>
        <w:t>Wall Street Journal</w:t>
      </w:r>
      <w:r>
        <w:t>,</w:t>
      </w:r>
      <w:r w:rsidRPr="005266AF">
        <w:t xml:space="preserve"> March 6, 1997</w:t>
      </w:r>
      <w:r>
        <w:t>.</w:t>
      </w:r>
    </w:p>
    <w:p w:rsidR="00296E91" w:rsidRDefault="00296E91" w:rsidP="00CF414E">
      <w:pPr>
        <w:spacing w:after="120"/>
      </w:pPr>
    </w:p>
    <w:p w:rsidR="00E17206" w:rsidRPr="00E03C84" w:rsidRDefault="00E03C84" w:rsidP="00CF414E">
      <w:pPr>
        <w:spacing w:after="120"/>
        <w:rPr>
          <w:u w:val="single"/>
        </w:rPr>
      </w:pPr>
      <w:r w:rsidRPr="00E03C84">
        <w:rPr>
          <w:u w:val="single"/>
        </w:rPr>
        <w:t>Cases</w:t>
      </w:r>
    </w:p>
    <w:p w:rsidR="00E03C84" w:rsidRPr="00E03C84" w:rsidRDefault="00E03C84" w:rsidP="00CF414E">
      <w:pPr>
        <w:spacing w:after="120"/>
      </w:pPr>
      <w:r w:rsidRPr="00E03C84">
        <w:t xml:space="preserve">Harris Seafoods, Inc. (HBS # 281-054) </w:t>
      </w:r>
    </w:p>
    <w:p w:rsidR="00E03C84" w:rsidRPr="00E03C84" w:rsidRDefault="00E03C84" w:rsidP="00CF414E">
      <w:pPr>
        <w:spacing w:after="120"/>
      </w:pPr>
      <w:r w:rsidRPr="00E03C84">
        <w:t>Marriott Corporation: The Cost of Capital (HBS # 289-047)</w:t>
      </w:r>
    </w:p>
    <w:p w:rsidR="00E03C84" w:rsidRPr="00E03C84" w:rsidRDefault="00E03C84" w:rsidP="00E03C84">
      <w:pPr>
        <w:spacing w:after="120"/>
      </w:pPr>
      <w:r w:rsidRPr="00E03C84">
        <w:t>Congoleum Corporation (HBS # 287-029)</w:t>
      </w:r>
    </w:p>
    <w:p w:rsidR="00E03C84" w:rsidRPr="00E03C84" w:rsidRDefault="00E03C84" w:rsidP="00E03C84">
      <w:pPr>
        <w:spacing w:after="120"/>
      </w:pPr>
      <w:r w:rsidRPr="00E03C84">
        <w:t>American Home Products Corporation (HBS # 283-065)</w:t>
      </w:r>
    </w:p>
    <w:p w:rsidR="00E03C84" w:rsidRPr="00E03C84" w:rsidRDefault="00E03C84" w:rsidP="00E03C84">
      <w:pPr>
        <w:spacing w:after="120"/>
      </w:pPr>
      <w:r w:rsidRPr="00E03C84">
        <w:t xml:space="preserve">Aberlyn Capital Management (HBS # 294-083) </w:t>
      </w:r>
    </w:p>
    <w:p w:rsidR="00E03C84" w:rsidRPr="00E03C84" w:rsidRDefault="00E03C84" w:rsidP="00E03C84">
      <w:pPr>
        <w:spacing w:after="120"/>
      </w:pPr>
      <w:r w:rsidRPr="00E03C84">
        <w:t>Corning Inc. (UVA-F-1339 v. 2.6)</w:t>
      </w:r>
    </w:p>
    <w:p w:rsidR="00E03C84" w:rsidRPr="00E03C84" w:rsidRDefault="00E03C84" w:rsidP="00E03C84">
      <w:pPr>
        <w:spacing w:after="120"/>
      </w:pPr>
      <w:r w:rsidRPr="00E03C84">
        <w:t>Kennecott Copper Corporation (HBS # 278-143)</w:t>
      </w:r>
    </w:p>
    <w:p w:rsidR="00E03C84" w:rsidRPr="00E03C84" w:rsidRDefault="00E03C84" w:rsidP="00E03C84">
      <w:pPr>
        <w:spacing w:after="120"/>
        <w:jc w:val="both"/>
      </w:pPr>
      <w:r w:rsidRPr="00E03C84">
        <w:t>The Acquisition of Consolidated Rail Corporation (HBS # 298-006/095)</w:t>
      </w:r>
    </w:p>
    <w:p w:rsidR="00B21B48" w:rsidRDefault="00B21B48" w:rsidP="005266AF"/>
    <w:sectPr w:rsidR="00B21B48" w:rsidSect="003A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CB7"/>
    <w:multiLevelType w:val="hybridMultilevel"/>
    <w:tmpl w:val="EB26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794"/>
    <w:multiLevelType w:val="hybridMultilevel"/>
    <w:tmpl w:val="6060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14F7"/>
    <w:multiLevelType w:val="hybridMultilevel"/>
    <w:tmpl w:val="EAA2D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0450C"/>
    <w:multiLevelType w:val="hybridMultilevel"/>
    <w:tmpl w:val="F2183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336C00"/>
    <w:multiLevelType w:val="hybridMultilevel"/>
    <w:tmpl w:val="3E6AE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5B629D"/>
    <w:multiLevelType w:val="hybridMultilevel"/>
    <w:tmpl w:val="EC3C3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626387"/>
    <w:multiLevelType w:val="hybridMultilevel"/>
    <w:tmpl w:val="32CC1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57A15"/>
    <w:multiLevelType w:val="hybridMultilevel"/>
    <w:tmpl w:val="C4D6F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4A5DBD"/>
    <w:multiLevelType w:val="hybridMultilevel"/>
    <w:tmpl w:val="ECE01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82F62"/>
    <w:multiLevelType w:val="hybridMultilevel"/>
    <w:tmpl w:val="175C8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6D2262"/>
    <w:multiLevelType w:val="hybridMultilevel"/>
    <w:tmpl w:val="7010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A7EE9"/>
    <w:multiLevelType w:val="hybridMultilevel"/>
    <w:tmpl w:val="E8A0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F73A9"/>
    <w:multiLevelType w:val="hybridMultilevel"/>
    <w:tmpl w:val="5FE6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2C0096"/>
    <w:multiLevelType w:val="hybridMultilevel"/>
    <w:tmpl w:val="3992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040DA"/>
    <w:rsid w:val="00001110"/>
    <w:rsid w:val="000020BA"/>
    <w:rsid w:val="000021DB"/>
    <w:rsid w:val="0000377A"/>
    <w:rsid w:val="00004F5C"/>
    <w:rsid w:val="00006EFB"/>
    <w:rsid w:val="00007109"/>
    <w:rsid w:val="000144BC"/>
    <w:rsid w:val="00017395"/>
    <w:rsid w:val="00022D60"/>
    <w:rsid w:val="00023ABB"/>
    <w:rsid w:val="00024919"/>
    <w:rsid w:val="00026A61"/>
    <w:rsid w:val="000275F8"/>
    <w:rsid w:val="00030CFB"/>
    <w:rsid w:val="000332D0"/>
    <w:rsid w:val="00033442"/>
    <w:rsid w:val="00033A2B"/>
    <w:rsid w:val="0003611E"/>
    <w:rsid w:val="000419DA"/>
    <w:rsid w:val="00042079"/>
    <w:rsid w:val="000444D8"/>
    <w:rsid w:val="00045B3C"/>
    <w:rsid w:val="00054FCD"/>
    <w:rsid w:val="00055F1A"/>
    <w:rsid w:val="00057A84"/>
    <w:rsid w:val="000623A5"/>
    <w:rsid w:val="00063F2B"/>
    <w:rsid w:val="00072F6D"/>
    <w:rsid w:val="000815D9"/>
    <w:rsid w:val="00081816"/>
    <w:rsid w:val="00082204"/>
    <w:rsid w:val="000829E4"/>
    <w:rsid w:val="00082E07"/>
    <w:rsid w:val="00083159"/>
    <w:rsid w:val="0008335A"/>
    <w:rsid w:val="0008474C"/>
    <w:rsid w:val="00086884"/>
    <w:rsid w:val="000967C1"/>
    <w:rsid w:val="000975EB"/>
    <w:rsid w:val="00097D9A"/>
    <w:rsid w:val="000A22B0"/>
    <w:rsid w:val="000A51C6"/>
    <w:rsid w:val="000A561F"/>
    <w:rsid w:val="000A683E"/>
    <w:rsid w:val="000A7489"/>
    <w:rsid w:val="000B0024"/>
    <w:rsid w:val="000B0681"/>
    <w:rsid w:val="000B2546"/>
    <w:rsid w:val="000B34DF"/>
    <w:rsid w:val="000B3B28"/>
    <w:rsid w:val="000B4A12"/>
    <w:rsid w:val="000B6065"/>
    <w:rsid w:val="000B6F4A"/>
    <w:rsid w:val="000C6CFB"/>
    <w:rsid w:val="000C70C5"/>
    <w:rsid w:val="000C7FAA"/>
    <w:rsid w:val="000D1BA2"/>
    <w:rsid w:val="000D1C0B"/>
    <w:rsid w:val="000D4DDB"/>
    <w:rsid w:val="000D505C"/>
    <w:rsid w:val="000E0096"/>
    <w:rsid w:val="000E0BEB"/>
    <w:rsid w:val="000E46E5"/>
    <w:rsid w:val="000E5F46"/>
    <w:rsid w:val="000E767E"/>
    <w:rsid w:val="000F0D0E"/>
    <w:rsid w:val="000F45C3"/>
    <w:rsid w:val="000F51B1"/>
    <w:rsid w:val="000F77FD"/>
    <w:rsid w:val="00106056"/>
    <w:rsid w:val="00106465"/>
    <w:rsid w:val="00107350"/>
    <w:rsid w:val="001077F0"/>
    <w:rsid w:val="001079D7"/>
    <w:rsid w:val="001116D6"/>
    <w:rsid w:val="00111F57"/>
    <w:rsid w:val="001133AD"/>
    <w:rsid w:val="001152D4"/>
    <w:rsid w:val="001173A8"/>
    <w:rsid w:val="00120CF0"/>
    <w:rsid w:val="001215EB"/>
    <w:rsid w:val="00123263"/>
    <w:rsid w:val="0012467C"/>
    <w:rsid w:val="00124E1D"/>
    <w:rsid w:val="0012561D"/>
    <w:rsid w:val="00125E3B"/>
    <w:rsid w:val="001300DB"/>
    <w:rsid w:val="001310EA"/>
    <w:rsid w:val="0013156D"/>
    <w:rsid w:val="00132E12"/>
    <w:rsid w:val="00133296"/>
    <w:rsid w:val="00133D3A"/>
    <w:rsid w:val="00140DB6"/>
    <w:rsid w:val="00142944"/>
    <w:rsid w:val="001454EC"/>
    <w:rsid w:val="001474BF"/>
    <w:rsid w:val="001509A7"/>
    <w:rsid w:val="00153297"/>
    <w:rsid w:val="0015339E"/>
    <w:rsid w:val="00156313"/>
    <w:rsid w:val="001565E2"/>
    <w:rsid w:val="00156796"/>
    <w:rsid w:val="00165108"/>
    <w:rsid w:val="001655CE"/>
    <w:rsid w:val="00167599"/>
    <w:rsid w:val="001726CB"/>
    <w:rsid w:val="0017300F"/>
    <w:rsid w:val="00173D9A"/>
    <w:rsid w:val="001741C8"/>
    <w:rsid w:val="0017577E"/>
    <w:rsid w:val="00176D34"/>
    <w:rsid w:val="001821F8"/>
    <w:rsid w:val="00183D05"/>
    <w:rsid w:val="00183D28"/>
    <w:rsid w:val="001864C4"/>
    <w:rsid w:val="00193B35"/>
    <w:rsid w:val="00194A75"/>
    <w:rsid w:val="001951E3"/>
    <w:rsid w:val="00195CE4"/>
    <w:rsid w:val="00195F7C"/>
    <w:rsid w:val="00196A55"/>
    <w:rsid w:val="001A0C26"/>
    <w:rsid w:val="001A1753"/>
    <w:rsid w:val="001A2FD7"/>
    <w:rsid w:val="001A4761"/>
    <w:rsid w:val="001A56FC"/>
    <w:rsid w:val="001A5C75"/>
    <w:rsid w:val="001A5CBF"/>
    <w:rsid w:val="001B1B67"/>
    <w:rsid w:val="001B3B26"/>
    <w:rsid w:val="001C245C"/>
    <w:rsid w:val="001C34D8"/>
    <w:rsid w:val="001C5FB4"/>
    <w:rsid w:val="001D3562"/>
    <w:rsid w:val="001D4D1A"/>
    <w:rsid w:val="001D4DC4"/>
    <w:rsid w:val="001D4E83"/>
    <w:rsid w:val="001D501E"/>
    <w:rsid w:val="001D5B3F"/>
    <w:rsid w:val="001D64F1"/>
    <w:rsid w:val="001E0A83"/>
    <w:rsid w:val="001E19C3"/>
    <w:rsid w:val="001E5FF8"/>
    <w:rsid w:val="001F1846"/>
    <w:rsid w:val="001F3033"/>
    <w:rsid w:val="001F35EE"/>
    <w:rsid w:val="001F4FD5"/>
    <w:rsid w:val="001F589B"/>
    <w:rsid w:val="001F5916"/>
    <w:rsid w:val="00202D7F"/>
    <w:rsid w:val="00203A22"/>
    <w:rsid w:val="0020462E"/>
    <w:rsid w:val="00207D65"/>
    <w:rsid w:val="00212CA8"/>
    <w:rsid w:val="002226E6"/>
    <w:rsid w:val="002234A0"/>
    <w:rsid w:val="00226A89"/>
    <w:rsid w:val="00230F18"/>
    <w:rsid w:val="00231F5E"/>
    <w:rsid w:val="00232063"/>
    <w:rsid w:val="002350A1"/>
    <w:rsid w:val="00236149"/>
    <w:rsid w:val="002403AF"/>
    <w:rsid w:val="002430D0"/>
    <w:rsid w:val="002446CC"/>
    <w:rsid w:val="00245781"/>
    <w:rsid w:val="00247BB7"/>
    <w:rsid w:val="00247F44"/>
    <w:rsid w:val="00250665"/>
    <w:rsid w:val="00252CAF"/>
    <w:rsid w:val="002535E2"/>
    <w:rsid w:val="00262FC8"/>
    <w:rsid w:val="00264346"/>
    <w:rsid w:val="00266DB3"/>
    <w:rsid w:val="0026779F"/>
    <w:rsid w:val="00270333"/>
    <w:rsid w:val="0027280E"/>
    <w:rsid w:val="0027638B"/>
    <w:rsid w:val="00276A95"/>
    <w:rsid w:val="00277E70"/>
    <w:rsid w:val="00281251"/>
    <w:rsid w:val="002817E2"/>
    <w:rsid w:val="00283B98"/>
    <w:rsid w:val="00284CBD"/>
    <w:rsid w:val="00286352"/>
    <w:rsid w:val="00292C39"/>
    <w:rsid w:val="00295419"/>
    <w:rsid w:val="00296E91"/>
    <w:rsid w:val="002A025A"/>
    <w:rsid w:val="002A06D2"/>
    <w:rsid w:val="002A3418"/>
    <w:rsid w:val="002A4F12"/>
    <w:rsid w:val="002A6F85"/>
    <w:rsid w:val="002A75A6"/>
    <w:rsid w:val="002B5FC1"/>
    <w:rsid w:val="002B68C5"/>
    <w:rsid w:val="002C0C3D"/>
    <w:rsid w:val="002C2B9A"/>
    <w:rsid w:val="002C3407"/>
    <w:rsid w:val="002C395E"/>
    <w:rsid w:val="002C501A"/>
    <w:rsid w:val="002C57B1"/>
    <w:rsid w:val="002C645C"/>
    <w:rsid w:val="002D13BE"/>
    <w:rsid w:val="002D655D"/>
    <w:rsid w:val="002D7A90"/>
    <w:rsid w:val="002E0F73"/>
    <w:rsid w:val="002E254E"/>
    <w:rsid w:val="002E2776"/>
    <w:rsid w:val="002E558D"/>
    <w:rsid w:val="002E6CDF"/>
    <w:rsid w:val="002E7000"/>
    <w:rsid w:val="002E7F59"/>
    <w:rsid w:val="002F0E31"/>
    <w:rsid w:val="002F5B9C"/>
    <w:rsid w:val="002F6C54"/>
    <w:rsid w:val="003034B8"/>
    <w:rsid w:val="003112AA"/>
    <w:rsid w:val="003123DD"/>
    <w:rsid w:val="003142ED"/>
    <w:rsid w:val="0032106B"/>
    <w:rsid w:val="003218FB"/>
    <w:rsid w:val="00322357"/>
    <w:rsid w:val="00324687"/>
    <w:rsid w:val="00324DE9"/>
    <w:rsid w:val="00325126"/>
    <w:rsid w:val="003252EA"/>
    <w:rsid w:val="00326CD9"/>
    <w:rsid w:val="00327FED"/>
    <w:rsid w:val="0033019A"/>
    <w:rsid w:val="00330930"/>
    <w:rsid w:val="00330BD8"/>
    <w:rsid w:val="003369C4"/>
    <w:rsid w:val="00337AA2"/>
    <w:rsid w:val="003556B5"/>
    <w:rsid w:val="00357C9A"/>
    <w:rsid w:val="00357D58"/>
    <w:rsid w:val="00357DE3"/>
    <w:rsid w:val="003608B0"/>
    <w:rsid w:val="00360F69"/>
    <w:rsid w:val="00362D2B"/>
    <w:rsid w:val="0036332C"/>
    <w:rsid w:val="003658CB"/>
    <w:rsid w:val="00366243"/>
    <w:rsid w:val="00370C26"/>
    <w:rsid w:val="00371993"/>
    <w:rsid w:val="00372E31"/>
    <w:rsid w:val="0037358A"/>
    <w:rsid w:val="00374FE5"/>
    <w:rsid w:val="003760C4"/>
    <w:rsid w:val="00382CAC"/>
    <w:rsid w:val="00383F81"/>
    <w:rsid w:val="00385B7C"/>
    <w:rsid w:val="003908E6"/>
    <w:rsid w:val="003919B9"/>
    <w:rsid w:val="003936F2"/>
    <w:rsid w:val="0039379E"/>
    <w:rsid w:val="00396DF3"/>
    <w:rsid w:val="003A1A7A"/>
    <w:rsid w:val="003A1C52"/>
    <w:rsid w:val="003A209D"/>
    <w:rsid w:val="003A49E7"/>
    <w:rsid w:val="003A4BCF"/>
    <w:rsid w:val="003A6FDC"/>
    <w:rsid w:val="003B0910"/>
    <w:rsid w:val="003B0DCF"/>
    <w:rsid w:val="003B16F8"/>
    <w:rsid w:val="003C011B"/>
    <w:rsid w:val="003C0794"/>
    <w:rsid w:val="003C1AEE"/>
    <w:rsid w:val="003C1EE9"/>
    <w:rsid w:val="003C35B9"/>
    <w:rsid w:val="003C5743"/>
    <w:rsid w:val="003C747C"/>
    <w:rsid w:val="003D2B43"/>
    <w:rsid w:val="003D3DB8"/>
    <w:rsid w:val="003D41F3"/>
    <w:rsid w:val="003D45D2"/>
    <w:rsid w:val="003D4E3F"/>
    <w:rsid w:val="003D59B1"/>
    <w:rsid w:val="003D59EB"/>
    <w:rsid w:val="003D5ED3"/>
    <w:rsid w:val="003D66E9"/>
    <w:rsid w:val="003D736A"/>
    <w:rsid w:val="003E0DE3"/>
    <w:rsid w:val="003E530F"/>
    <w:rsid w:val="003E6E32"/>
    <w:rsid w:val="003E7ADD"/>
    <w:rsid w:val="003F0FEA"/>
    <w:rsid w:val="003F1927"/>
    <w:rsid w:val="003F2EB1"/>
    <w:rsid w:val="003F301A"/>
    <w:rsid w:val="003F71CA"/>
    <w:rsid w:val="0040227D"/>
    <w:rsid w:val="00402A90"/>
    <w:rsid w:val="00406937"/>
    <w:rsid w:val="00410998"/>
    <w:rsid w:val="00411544"/>
    <w:rsid w:val="0041540C"/>
    <w:rsid w:val="00416B59"/>
    <w:rsid w:val="004170EC"/>
    <w:rsid w:val="00417D73"/>
    <w:rsid w:val="00420DEC"/>
    <w:rsid w:val="00422152"/>
    <w:rsid w:val="00422FED"/>
    <w:rsid w:val="004230FF"/>
    <w:rsid w:val="0042431E"/>
    <w:rsid w:val="00425702"/>
    <w:rsid w:val="00426F82"/>
    <w:rsid w:val="00427F30"/>
    <w:rsid w:val="00431F08"/>
    <w:rsid w:val="00434C5A"/>
    <w:rsid w:val="004361DC"/>
    <w:rsid w:val="00440144"/>
    <w:rsid w:val="00440E79"/>
    <w:rsid w:val="00441497"/>
    <w:rsid w:val="0044279F"/>
    <w:rsid w:val="0044394F"/>
    <w:rsid w:val="004449C8"/>
    <w:rsid w:val="004465C4"/>
    <w:rsid w:val="00446A98"/>
    <w:rsid w:val="00446DD3"/>
    <w:rsid w:val="00450362"/>
    <w:rsid w:val="00456354"/>
    <w:rsid w:val="004603E9"/>
    <w:rsid w:val="0046046C"/>
    <w:rsid w:val="004618A1"/>
    <w:rsid w:val="00462051"/>
    <w:rsid w:val="00464A7E"/>
    <w:rsid w:val="00465763"/>
    <w:rsid w:val="00465F09"/>
    <w:rsid w:val="00466D2A"/>
    <w:rsid w:val="0047361B"/>
    <w:rsid w:val="00474360"/>
    <w:rsid w:val="00475CDC"/>
    <w:rsid w:val="00476BB4"/>
    <w:rsid w:val="0048045B"/>
    <w:rsid w:val="00480605"/>
    <w:rsid w:val="00483D96"/>
    <w:rsid w:val="00486C23"/>
    <w:rsid w:val="00486D5D"/>
    <w:rsid w:val="00487825"/>
    <w:rsid w:val="00491F03"/>
    <w:rsid w:val="004934B1"/>
    <w:rsid w:val="00494285"/>
    <w:rsid w:val="00496A0A"/>
    <w:rsid w:val="00497627"/>
    <w:rsid w:val="0049792A"/>
    <w:rsid w:val="004A11B4"/>
    <w:rsid w:val="004A4A43"/>
    <w:rsid w:val="004A620B"/>
    <w:rsid w:val="004A75E7"/>
    <w:rsid w:val="004B358A"/>
    <w:rsid w:val="004B391F"/>
    <w:rsid w:val="004B4590"/>
    <w:rsid w:val="004B78E2"/>
    <w:rsid w:val="004C0052"/>
    <w:rsid w:val="004C36C1"/>
    <w:rsid w:val="004C60D8"/>
    <w:rsid w:val="004C668C"/>
    <w:rsid w:val="004C6C8C"/>
    <w:rsid w:val="004C7190"/>
    <w:rsid w:val="004C719A"/>
    <w:rsid w:val="004C75AD"/>
    <w:rsid w:val="004C7B2A"/>
    <w:rsid w:val="004C7C70"/>
    <w:rsid w:val="004C7F79"/>
    <w:rsid w:val="004D0612"/>
    <w:rsid w:val="004D1312"/>
    <w:rsid w:val="004D13EA"/>
    <w:rsid w:val="004D28A3"/>
    <w:rsid w:val="004D420F"/>
    <w:rsid w:val="004D51A8"/>
    <w:rsid w:val="004D6A5A"/>
    <w:rsid w:val="004E1CFA"/>
    <w:rsid w:val="004E4E01"/>
    <w:rsid w:val="004E609D"/>
    <w:rsid w:val="004E6816"/>
    <w:rsid w:val="004F1CC9"/>
    <w:rsid w:val="004F3269"/>
    <w:rsid w:val="004F3A1C"/>
    <w:rsid w:val="004F4839"/>
    <w:rsid w:val="005000AA"/>
    <w:rsid w:val="0050401B"/>
    <w:rsid w:val="0050506D"/>
    <w:rsid w:val="00505F59"/>
    <w:rsid w:val="0050612C"/>
    <w:rsid w:val="0051046F"/>
    <w:rsid w:val="00510603"/>
    <w:rsid w:val="00511DFC"/>
    <w:rsid w:val="00514C6E"/>
    <w:rsid w:val="00514F19"/>
    <w:rsid w:val="00520A23"/>
    <w:rsid w:val="00524CFA"/>
    <w:rsid w:val="005266AF"/>
    <w:rsid w:val="00527B71"/>
    <w:rsid w:val="005304BB"/>
    <w:rsid w:val="00531023"/>
    <w:rsid w:val="005316C2"/>
    <w:rsid w:val="00532B2C"/>
    <w:rsid w:val="00536928"/>
    <w:rsid w:val="0054126D"/>
    <w:rsid w:val="00541757"/>
    <w:rsid w:val="00544F3D"/>
    <w:rsid w:val="005451E4"/>
    <w:rsid w:val="005475E1"/>
    <w:rsid w:val="00551246"/>
    <w:rsid w:val="0055308A"/>
    <w:rsid w:val="00553B84"/>
    <w:rsid w:val="0055751E"/>
    <w:rsid w:val="00561358"/>
    <w:rsid w:val="005623B4"/>
    <w:rsid w:val="005625E8"/>
    <w:rsid w:val="00563FED"/>
    <w:rsid w:val="005648CC"/>
    <w:rsid w:val="00566162"/>
    <w:rsid w:val="005662CA"/>
    <w:rsid w:val="005674D9"/>
    <w:rsid w:val="00567BFD"/>
    <w:rsid w:val="00572465"/>
    <w:rsid w:val="00575413"/>
    <w:rsid w:val="0057769F"/>
    <w:rsid w:val="00580500"/>
    <w:rsid w:val="00581758"/>
    <w:rsid w:val="00581D71"/>
    <w:rsid w:val="00583A09"/>
    <w:rsid w:val="00584501"/>
    <w:rsid w:val="005863AB"/>
    <w:rsid w:val="00595624"/>
    <w:rsid w:val="00597418"/>
    <w:rsid w:val="005A0E59"/>
    <w:rsid w:val="005A5121"/>
    <w:rsid w:val="005B0604"/>
    <w:rsid w:val="005B0729"/>
    <w:rsid w:val="005B086A"/>
    <w:rsid w:val="005B1AD6"/>
    <w:rsid w:val="005B2669"/>
    <w:rsid w:val="005B38DD"/>
    <w:rsid w:val="005B458A"/>
    <w:rsid w:val="005B5016"/>
    <w:rsid w:val="005B5CB3"/>
    <w:rsid w:val="005C006E"/>
    <w:rsid w:val="005C0FC3"/>
    <w:rsid w:val="005D3D00"/>
    <w:rsid w:val="005D4F4D"/>
    <w:rsid w:val="005E5F4E"/>
    <w:rsid w:val="005E5FC5"/>
    <w:rsid w:val="005F2453"/>
    <w:rsid w:val="005F35A6"/>
    <w:rsid w:val="005F50C2"/>
    <w:rsid w:val="005F5C9D"/>
    <w:rsid w:val="006013A0"/>
    <w:rsid w:val="006035AB"/>
    <w:rsid w:val="00604F7E"/>
    <w:rsid w:val="00611330"/>
    <w:rsid w:val="00613297"/>
    <w:rsid w:val="00614B7F"/>
    <w:rsid w:val="00617310"/>
    <w:rsid w:val="0062011C"/>
    <w:rsid w:val="00622742"/>
    <w:rsid w:val="00623086"/>
    <w:rsid w:val="00623618"/>
    <w:rsid w:val="0062440E"/>
    <w:rsid w:val="00631A36"/>
    <w:rsid w:val="00635AFF"/>
    <w:rsid w:val="0064281C"/>
    <w:rsid w:val="006436EA"/>
    <w:rsid w:val="00644A53"/>
    <w:rsid w:val="00645750"/>
    <w:rsid w:val="00645DCC"/>
    <w:rsid w:val="00646E52"/>
    <w:rsid w:val="00650196"/>
    <w:rsid w:val="006522CA"/>
    <w:rsid w:val="00654798"/>
    <w:rsid w:val="00655959"/>
    <w:rsid w:val="006564DB"/>
    <w:rsid w:val="006607AC"/>
    <w:rsid w:val="00660CCB"/>
    <w:rsid w:val="00661F73"/>
    <w:rsid w:val="006668CC"/>
    <w:rsid w:val="0066772D"/>
    <w:rsid w:val="006706A1"/>
    <w:rsid w:val="006714F1"/>
    <w:rsid w:val="00671A16"/>
    <w:rsid w:val="00673B89"/>
    <w:rsid w:val="00674A04"/>
    <w:rsid w:val="0067629E"/>
    <w:rsid w:val="00681240"/>
    <w:rsid w:val="00685258"/>
    <w:rsid w:val="00694552"/>
    <w:rsid w:val="0069514C"/>
    <w:rsid w:val="006A09DE"/>
    <w:rsid w:val="006A0A61"/>
    <w:rsid w:val="006A0AC8"/>
    <w:rsid w:val="006A4EE0"/>
    <w:rsid w:val="006A609B"/>
    <w:rsid w:val="006A6FA0"/>
    <w:rsid w:val="006A7EBC"/>
    <w:rsid w:val="006B088A"/>
    <w:rsid w:val="006B1141"/>
    <w:rsid w:val="006B24EA"/>
    <w:rsid w:val="006B3432"/>
    <w:rsid w:val="006B49D1"/>
    <w:rsid w:val="006B5AAB"/>
    <w:rsid w:val="006B6D2B"/>
    <w:rsid w:val="006B7B72"/>
    <w:rsid w:val="006C036A"/>
    <w:rsid w:val="006C1490"/>
    <w:rsid w:val="006C2C16"/>
    <w:rsid w:val="006C2D0B"/>
    <w:rsid w:val="006C3A1C"/>
    <w:rsid w:val="006C3BA7"/>
    <w:rsid w:val="006C776E"/>
    <w:rsid w:val="006C7AC3"/>
    <w:rsid w:val="006D0144"/>
    <w:rsid w:val="006D082B"/>
    <w:rsid w:val="006D0E4B"/>
    <w:rsid w:val="006D3451"/>
    <w:rsid w:val="006D3899"/>
    <w:rsid w:val="006D6F5F"/>
    <w:rsid w:val="006E3652"/>
    <w:rsid w:val="006F0CC4"/>
    <w:rsid w:val="006F2D0C"/>
    <w:rsid w:val="006F2F06"/>
    <w:rsid w:val="006F59A7"/>
    <w:rsid w:val="007016EA"/>
    <w:rsid w:val="0070192B"/>
    <w:rsid w:val="00703E1A"/>
    <w:rsid w:val="00705C0D"/>
    <w:rsid w:val="00706A10"/>
    <w:rsid w:val="00707510"/>
    <w:rsid w:val="00707712"/>
    <w:rsid w:val="00711C69"/>
    <w:rsid w:val="00713F81"/>
    <w:rsid w:val="00714D5A"/>
    <w:rsid w:val="00714F03"/>
    <w:rsid w:val="007207F7"/>
    <w:rsid w:val="00722551"/>
    <w:rsid w:val="00724AAA"/>
    <w:rsid w:val="00726A1A"/>
    <w:rsid w:val="007270BD"/>
    <w:rsid w:val="0073006C"/>
    <w:rsid w:val="00730203"/>
    <w:rsid w:val="00730DB1"/>
    <w:rsid w:val="007319A9"/>
    <w:rsid w:val="007322C6"/>
    <w:rsid w:val="0073277D"/>
    <w:rsid w:val="007328B3"/>
    <w:rsid w:val="0073681E"/>
    <w:rsid w:val="007476F3"/>
    <w:rsid w:val="00750D46"/>
    <w:rsid w:val="00756524"/>
    <w:rsid w:val="00761720"/>
    <w:rsid w:val="00761CCB"/>
    <w:rsid w:val="0076677C"/>
    <w:rsid w:val="00767FDE"/>
    <w:rsid w:val="007708F1"/>
    <w:rsid w:val="00770DA6"/>
    <w:rsid w:val="00773578"/>
    <w:rsid w:val="00775189"/>
    <w:rsid w:val="00775C61"/>
    <w:rsid w:val="00781907"/>
    <w:rsid w:val="00781E4C"/>
    <w:rsid w:val="00782BFF"/>
    <w:rsid w:val="00784874"/>
    <w:rsid w:val="00785A13"/>
    <w:rsid w:val="00786C45"/>
    <w:rsid w:val="00794A1A"/>
    <w:rsid w:val="00795818"/>
    <w:rsid w:val="00796BF0"/>
    <w:rsid w:val="007A06BD"/>
    <w:rsid w:val="007A2CB4"/>
    <w:rsid w:val="007A3386"/>
    <w:rsid w:val="007A3728"/>
    <w:rsid w:val="007A42ED"/>
    <w:rsid w:val="007A5D8E"/>
    <w:rsid w:val="007A7266"/>
    <w:rsid w:val="007B0079"/>
    <w:rsid w:val="007B4141"/>
    <w:rsid w:val="007B4587"/>
    <w:rsid w:val="007B4AA4"/>
    <w:rsid w:val="007B724F"/>
    <w:rsid w:val="007C1CD3"/>
    <w:rsid w:val="007C1CD8"/>
    <w:rsid w:val="007C4DA6"/>
    <w:rsid w:val="007C50CC"/>
    <w:rsid w:val="007D1A76"/>
    <w:rsid w:val="007D23B8"/>
    <w:rsid w:val="007D2E22"/>
    <w:rsid w:val="007D2E5D"/>
    <w:rsid w:val="007D73A2"/>
    <w:rsid w:val="007E15AE"/>
    <w:rsid w:val="007E2583"/>
    <w:rsid w:val="007E3BEF"/>
    <w:rsid w:val="007E3E1C"/>
    <w:rsid w:val="007E6C98"/>
    <w:rsid w:val="007F09F3"/>
    <w:rsid w:val="007F3B33"/>
    <w:rsid w:val="007F4A26"/>
    <w:rsid w:val="007F721C"/>
    <w:rsid w:val="00801546"/>
    <w:rsid w:val="0080283E"/>
    <w:rsid w:val="00803A0D"/>
    <w:rsid w:val="00803DC2"/>
    <w:rsid w:val="008049D9"/>
    <w:rsid w:val="00805A7D"/>
    <w:rsid w:val="00807BF1"/>
    <w:rsid w:val="00811E10"/>
    <w:rsid w:val="00822026"/>
    <w:rsid w:val="008252A9"/>
    <w:rsid w:val="008269B1"/>
    <w:rsid w:val="00826C7E"/>
    <w:rsid w:val="008332F2"/>
    <w:rsid w:val="00836783"/>
    <w:rsid w:val="00837437"/>
    <w:rsid w:val="00840879"/>
    <w:rsid w:val="008447F6"/>
    <w:rsid w:val="00844872"/>
    <w:rsid w:val="00845E25"/>
    <w:rsid w:val="0084733A"/>
    <w:rsid w:val="008475E9"/>
    <w:rsid w:val="008524CD"/>
    <w:rsid w:val="00853921"/>
    <w:rsid w:val="00853B59"/>
    <w:rsid w:val="008610B1"/>
    <w:rsid w:val="00861FDF"/>
    <w:rsid w:val="008636BA"/>
    <w:rsid w:val="008658EA"/>
    <w:rsid w:val="0086594D"/>
    <w:rsid w:val="0087167E"/>
    <w:rsid w:val="008717CA"/>
    <w:rsid w:val="00872A3F"/>
    <w:rsid w:val="00872B04"/>
    <w:rsid w:val="008752E4"/>
    <w:rsid w:val="00876BB3"/>
    <w:rsid w:val="00880F3E"/>
    <w:rsid w:val="008818F8"/>
    <w:rsid w:val="0088398E"/>
    <w:rsid w:val="00884B1C"/>
    <w:rsid w:val="00884F5E"/>
    <w:rsid w:val="00886C26"/>
    <w:rsid w:val="00890A06"/>
    <w:rsid w:val="00891AC4"/>
    <w:rsid w:val="00893ACA"/>
    <w:rsid w:val="00893E30"/>
    <w:rsid w:val="0089576D"/>
    <w:rsid w:val="00895909"/>
    <w:rsid w:val="0089595B"/>
    <w:rsid w:val="008969E1"/>
    <w:rsid w:val="0089720F"/>
    <w:rsid w:val="008A1DCF"/>
    <w:rsid w:val="008A7B39"/>
    <w:rsid w:val="008B0BC4"/>
    <w:rsid w:val="008B1BCC"/>
    <w:rsid w:val="008B3AA4"/>
    <w:rsid w:val="008B3B41"/>
    <w:rsid w:val="008B502D"/>
    <w:rsid w:val="008B6463"/>
    <w:rsid w:val="008C1AB1"/>
    <w:rsid w:val="008C27BC"/>
    <w:rsid w:val="008C3918"/>
    <w:rsid w:val="008D196A"/>
    <w:rsid w:val="008D4B4E"/>
    <w:rsid w:val="008D6FED"/>
    <w:rsid w:val="008E49B3"/>
    <w:rsid w:val="008E70E6"/>
    <w:rsid w:val="008E76ED"/>
    <w:rsid w:val="008E79DE"/>
    <w:rsid w:val="008F004E"/>
    <w:rsid w:val="008F02AC"/>
    <w:rsid w:val="008F20ED"/>
    <w:rsid w:val="008F5C22"/>
    <w:rsid w:val="008F68EB"/>
    <w:rsid w:val="008F71B4"/>
    <w:rsid w:val="009000B2"/>
    <w:rsid w:val="00905E4B"/>
    <w:rsid w:val="00914ACE"/>
    <w:rsid w:val="00915B41"/>
    <w:rsid w:val="009173F1"/>
    <w:rsid w:val="00917E7F"/>
    <w:rsid w:val="00921857"/>
    <w:rsid w:val="00926D3B"/>
    <w:rsid w:val="00927FD4"/>
    <w:rsid w:val="00930E0F"/>
    <w:rsid w:val="0093425C"/>
    <w:rsid w:val="009369A4"/>
    <w:rsid w:val="009379EE"/>
    <w:rsid w:val="0094146F"/>
    <w:rsid w:val="009425C8"/>
    <w:rsid w:val="0094480A"/>
    <w:rsid w:val="00945DCA"/>
    <w:rsid w:val="009501B6"/>
    <w:rsid w:val="00951624"/>
    <w:rsid w:val="00952DB4"/>
    <w:rsid w:val="00953EA2"/>
    <w:rsid w:val="009559F9"/>
    <w:rsid w:val="00960A65"/>
    <w:rsid w:val="009616BD"/>
    <w:rsid w:val="0096278D"/>
    <w:rsid w:val="00965BFE"/>
    <w:rsid w:val="00976861"/>
    <w:rsid w:val="00976DB3"/>
    <w:rsid w:val="00976F90"/>
    <w:rsid w:val="00977F88"/>
    <w:rsid w:val="0098269F"/>
    <w:rsid w:val="00982815"/>
    <w:rsid w:val="009838E1"/>
    <w:rsid w:val="0099220B"/>
    <w:rsid w:val="0099341B"/>
    <w:rsid w:val="009949D3"/>
    <w:rsid w:val="00996B94"/>
    <w:rsid w:val="00997702"/>
    <w:rsid w:val="009B147A"/>
    <w:rsid w:val="009B26CA"/>
    <w:rsid w:val="009B3811"/>
    <w:rsid w:val="009B6C1E"/>
    <w:rsid w:val="009B72E9"/>
    <w:rsid w:val="009B78F6"/>
    <w:rsid w:val="009B7ADA"/>
    <w:rsid w:val="009C1C0B"/>
    <w:rsid w:val="009C4285"/>
    <w:rsid w:val="009C5D2A"/>
    <w:rsid w:val="009C6EE6"/>
    <w:rsid w:val="009D0134"/>
    <w:rsid w:val="009D129D"/>
    <w:rsid w:val="009D218F"/>
    <w:rsid w:val="009D2BEA"/>
    <w:rsid w:val="009D4453"/>
    <w:rsid w:val="009E18BA"/>
    <w:rsid w:val="009E2628"/>
    <w:rsid w:val="009E69D9"/>
    <w:rsid w:val="009E6DDC"/>
    <w:rsid w:val="009F0D31"/>
    <w:rsid w:val="009F17EE"/>
    <w:rsid w:val="009F2C18"/>
    <w:rsid w:val="009F41CD"/>
    <w:rsid w:val="009F4417"/>
    <w:rsid w:val="00A00F73"/>
    <w:rsid w:val="00A0258C"/>
    <w:rsid w:val="00A03232"/>
    <w:rsid w:val="00A043FE"/>
    <w:rsid w:val="00A04A72"/>
    <w:rsid w:val="00A04C8E"/>
    <w:rsid w:val="00A05829"/>
    <w:rsid w:val="00A11EAD"/>
    <w:rsid w:val="00A14D3B"/>
    <w:rsid w:val="00A1621F"/>
    <w:rsid w:val="00A23F0C"/>
    <w:rsid w:val="00A24394"/>
    <w:rsid w:val="00A32962"/>
    <w:rsid w:val="00A33C83"/>
    <w:rsid w:val="00A35651"/>
    <w:rsid w:val="00A421CB"/>
    <w:rsid w:val="00A430E6"/>
    <w:rsid w:val="00A43110"/>
    <w:rsid w:val="00A456E6"/>
    <w:rsid w:val="00A4688D"/>
    <w:rsid w:val="00A47125"/>
    <w:rsid w:val="00A4783A"/>
    <w:rsid w:val="00A47DD5"/>
    <w:rsid w:val="00A51B06"/>
    <w:rsid w:val="00A547AA"/>
    <w:rsid w:val="00A54AA0"/>
    <w:rsid w:val="00A57BFC"/>
    <w:rsid w:val="00A60593"/>
    <w:rsid w:val="00A6534E"/>
    <w:rsid w:val="00A661E9"/>
    <w:rsid w:val="00A72606"/>
    <w:rsid w:val="00A75235"/>
    <w:rsid w:val="00A81180"/>
    <w:rsid w:val="00A85E89"/>
    <w:rsid w:val="00A90C1A"/>
    <w:rsid w:val="00A91BBC"/>
    <w:rsid w:val="00A949D7"/>
    <w:rsid w:val="00A94CD8"/>
    <w:rsid w:val="00A95216"/>
    <w:rsid w:val="00A97B3A"/>
    <w:rsid w:val="00AA17B1"/>
    <w:rsid w:val="00AA2275"/>
    <w:rsid w:val="00AA560C"/>
    <w:rsid w:val="00AB101E"/>
    <w:rsid w:val="00AB230D"/>
    <w:rsid w:val="00AB285D"/>
    <w:rsid w:val="00AB2A17"/>
    <w:rsid w:val="00AB7003"/>
    <w:rsid w:val="00AB787C"/>
    <w:rsid w:val="00AC0380"/>
    <w:rsid w:val="00AC2DBA"/>
    <w:rsid w:val="00AC5939"/>
    <w:rsid w:val="00AD3594"/>
    <w:rsid w:val="00AD50C5"/>
    <w:rsid w:val="00AD55AB"/>
    <w:rsid w:val="00AD58B7"/>
    <w:rsid w:val="00AD5D53"/>
    <w:rsid w:val="00AE18A2"/>
    <w:rsid w:val="00AE2A2A"/>
    <w:rsid w:val="00AE31D1"/>
    <w:rsid w:val="00AE3867"/>
    <w:rsid w:val="00AE4432"/>
    <w:rsid w:val="00AF0B3A"/>
    <w:rsid w:val="00AF30EA"/>
    <w:rsid w:val="00AF76A0"/>
    <w:rsid w:val="00B00481"/>
    <w:rsid w:val="00B013C7"/>
    <w:rsid w:val="00B0437F"/>
    <w:rsid w:val="00B0701E"/>
    <w:rsid w:val="00B1107A"/>
    <w:rsid w:val="00B131C2"/>
    <w:rsid w:val="00B1799C"/>
    <w:rsid w:val="00B203E5"/>
    <w:rsid w:val="00B21B48"/>
    <w:rsid w:val="00B23074"/>
    <w:rsid w:val="00B2493A"/>
    <w:rsid w:val="00B25693"/>
    <w:rsid w:val="00B25D4F"/>
    <w:rsid w:val="00B268F4"/>
    <w:rsid w:val="00B31605"/>
    <w:rsid w:val="00B32418"/>
    <w:rsid w:val="00B337EC"/>
    <w:rsid w:val="00B3487F"/>
    <w:rsid w:val="00B35543"/>
    <w:rsid w:val="00B36A82"/>
    <w:rsid w:val="00B400B5"/>
    <w:rsid w:val="00B41255"/>
    <w:rsid w:val="00B4307E"/>
    <w:rsid w:val="00B46EB8"/>
    <w:rsid w:val="00B47F37"/>
    <w:rsid w:val="00B51B40"/>
    <w:rsid w:val="00B51C3C"/>
    <w:rsid w:val="00B54D21"/>
    <w:rsid w:val="00B550A1"/>
    <w:rsid w:val="00B55845"/>
    <w:rsid w:val="00B63EB8"/>
    <w:rsid w:val="00B64C42"/>
    <w:rsid w:val="00B651B2"/>
    <w:rsid w:val="00B66A2C"/>
    <w:rsid w:val="00B72932"/>
    <w:rsid w:val="00B741FD"/>
    <w:rsid w:val="00B74FC8"/>
    <w:rsid w:val="00B8452B"/>
    <w:rsid w:val="00B8672E"/>
    <w:rsid w:val="00B92783"/>
    <w:rsid w:val="00B92A6C"/>
    <w:rsid w:val="00B94D51"/>
    <w:rsid w:val="00B94F65"/>
    <w:rsid w:val="00B952C2"/>
    <w:rsid w:val="00B962BF"/>
    <w:rsid w:val="00BA3173"/>
    <w:rsid w:val="00BB0F8B"/>
    <w:rsid w:val="00BB1360"/>
    <w:rsid w:val="00BB2627"/>
    <w:rsid w:val="00BB4280"/>
    <w:rsid w:val="00BB6490"/>
    <w:rsid w:val="00BB75BD"/>
    <w:rsid w:val="00BB78D5"/>
    <w:rsid w:val="00BB78EF"/>
    <w:rsid w:val="00BB7AE2"/>
    <w:rsid w:val="00BC07F6"/>
    <w:rsid w:val="00BC5783"/>
    <w:rsid w:val="00BC6897"/>
    <w:rsid w:val="00BD16CF"/>
    <w:rsid w:val="00BD173F"/>
    <w:rsid w:val="00BD468D"/>
    <w:rsid w:val="00BD51E8"/>
    <w:rsid w:val="00BD687A"/>
    <w:rsid w:val="00BE0D95"/>
    <w:rsid w:val="00BE1BB7"/>
    <w:rsid w:val="00BE34F8"/>
    <w:rsid w:val="00BE4200"/>
    <w:rsid w:val="00BF1546"/>
    <w:rsid w:val="00BF2A91"/>
    <w:rsid w:val="00BF45BF"/>
    <w:rsid w:val="00BF6350"/>
    <w:rsid w:val="00BF6711"/>
    <w:rsid w:val="00C00AD8"/>
    <w:rsid w:val="00C04279"/>
    <w:rsid w:val="00C05E52"/>
    <w:rsid w:val="00C105F6"/>
    <w:rsid w:val="00C12844"/>
    <w:rsid w:val="00C13DE0"/>
    <w:rsid w:val="00C14481"/>
    <w:rsid w:val="00C1478C"/>
    <w:rsid w:val="00C1648F"/>
    <w:rsid w:val="00C21618"/>
    <w:rsid w:val="00C23D0C"/>
    <w:rsid w:val="00C2529E"/>
    <w:rsid w:val="00C26C4A"/>
    <w:rsid w:val="00C27D12"/>
    <w:rsid w:val="00C31DD6"/>
    <w:rsid w:val="00C350FE"/>
    <w:rsid w:val="00C41564"/>
    <w:rsid w:val="00C448BA"/>
    <w:rsid w:val="00C50C72"/>
    <w:rsid w:val="00C53E05"/>
    <w:rsid w:val="00C54CD7"/>
    <w:rsid w:val="00C55789"/>
    <w:rsid w:val="00C605F6"/>
    <w:rsid w:val="00C61833"/>
    <w:rsid w:val="00C62909"/>
    <w:rsid w:val="00C703CA"/>
    <w:rsid w:val="00C71663"/>
    <w:rsid w:val="00C73DA8"/>
    <w:rsid w:val="00C76527"/>
    <w:rsid w:val="00C77EAA"/>
    <w:rsid w:val="00C805D7"/>
    <w:rsid w:val="00C820FC"/>
    <w:rsid w:val="00C8457C"/>
    <w:rsid w:val="00C8638A"/>
    <w:rsid w:val="00C905C9"/>
    <w:rsid w:val="00C90732"/>
    <w:rsid w:val="00C91B4A"/>
    <w:rsid w:val="00C92DB2"/>
    <w:rsid w:val="00C93DEB"/>
    <w:rsid w:val="00C97FDD"/>
    <w:rsid w:val="00CA0964"/>
    <w:rsid w:val="00CA0C3D"/>
    <w:rsid w:val="00CA3596"/>
    <w:rsid w:val="00CA468E"/>
    <w:rsid w:val="00CA6489"/>
    <w:rsid w:val="00CA6533"/>
    <w:rsid w:val="00CA65AB"/>
    <w:rsid w:val="00CB0A08"/>
    <w:rsid w:val="00CB5457"/>
    <w:rsid w:val="00CB62BD"/>
    <w:rsid w:val="00CB71E5"/>
    <w:rsid w:val="00CC2BFB"/>
    <w:rsid w:val="00CC3125"/>
    <w:rsid w:val="00CC42FD"/>
    <w:rsid w:val="00CC5B52"/>
    <w:rsid w:val="00CD0419"/>
    <w:rsid w:val="00CD284B"/>
    <w:rsid w:val="00CD4F59"/>
    <w:rsid w:val="00CD70CE"/>
    <w:rsid w:val="00CD7B8C"/>
    <w:rsid w:val="00CE29A4"/>
    <w:rsid w:val="00CE586E"/>
    <w:rsid w:val="00CE5B20"/>
    <w:rsid w:val="00CE6062"/>
    <w:rsid w:val="00CF28E0"/>
    <w:rsid w:val="00CF414E"/>
    <w:rsid w:val="00CF50F0"/>
    <w:rsid w:val="00CF7CC9"/>
    <w:rsid w:val="00D01D00"/>
    <w:rsid w:val="00D02510"/>
    <w:rsid w:val="00D02D93"/>
    <w:rsid w:val="00D03DFE"/>
    <w:rsid w:val="00D060BF"/>
    <w:rsid w:val="00D07545"/>
    <w:rsid w:val="00D11EF4"/>
    <w:rsid w:val="00D1450F"/>
    <w:rsid w:val="00D16CBC"/>
    <w:rsid w:val="00D207AE"/>
    <w:rsid w:val="00D2108C"/>
    <w:rsid w:val="00D2282B"/>
    <w:rsid w:val="00D2391B"/>
    <w:rsid w:val="00D316E2"/>
    <w:rsid w:val="00D31C62"/>
    <w:rsid w:val="00D3406F"/>
    <w:rsid w:val="00D3508E"/>
    <w:rsid w:val="00D35A01"/>
    <w:rsid w:val="00D37A12"/>
    <w:rsid w:val="00D42D0D"/>
    <w:rsid w:val="00D4322A"/>
    <w:rsid w:val="00D47D66"/>
    <w:rsid w:val="00D5071B"/>
    <w:rsid w:val="00D51D25"/>
    <w:rsid w:val="00D52CBA"/>
    <w:rsid w:val="00D56C6A"/>
    <w:rsid w:val="00D571FE"/>
    <w:rsid w:val="00D62C8B"/>
    <w:rsid w:val="00D63B96"/>
    <w:rsid w:val="00D65385"/>
    <w:rsid w:val="00D65420"/>
    <w:rsid w:val="00D72931"/>
    <w:rsid w:val="00D746E5"/>
    <w:rsid w:val="00D76AE0"/>
    <w:rsid w:val="00D80A75"/>
    <w:rsid w:val="00D81789"/>
    <w:rsid w:val="00D871B5"/>
    <w:rsid w:val="00D87C9E"/>
    <w:rsid w:val="00D90265"/>
    <w:rsid w:val="00D913A1"/>
    <w:rsid w:val="00D94C49"/>
    <w:rsid w:val="00D959D9"/>
    <w:rsid w:val="00D965FF"/>
    <w:rsid w:val="00D97378"/>
    <w:rsid w:val="00D97C8E"/>
    <w:rsid w:val="00DA058A"/>
    <w:rsid w:val="00DA103A"/>
    <w:rsid w:val="00DA2201"/>
    <w:rsid w:val="00DA38E6"/>
    <w:rsid w:val="00DA41B8"/>
    <w:rsid w:val="00DA4389"/>
    <w:rsid w:val="00DA5688"/>
    <w:rsid w:val="00DA792C"/>
    <w:rsid w:val="00DB5E4B"/>
    <w:rsid w:val="00DB63B6"/>
    <w:rsid w:val="00DB63D6"/>
    <w:rsid w:val="00DB6C76"/>
    <w:rsid w:val="00DC076D"/>
    <w:rsid w:val="00DC4024"/>
    <w:rsid w:val="00DC4B0F"/>
    <w:rsid w:val="00DC71D6"/>
    <w:rsid w:val="00DC7938"/>
    <w:rsid w:val="00DD0835"/>
    <w:rsid w:val="00DD77B0"/>
    <w:rsid w:val="00DE012A"/>
    <w:rsid w:val="00DE0C97"/>
    <w:rsid w:val="00DF7846"/>
    <w:rsid w:val="00DF7DFB"/>
    <w:rsid w:val="00E02C3F"/>
    <w:rsid w:val="00E02E97"/>
    <w:rsid w:val="00E03C84"/>
    <w:rsid w:val="00E04C92"/>
    <w:rsid w:val="00E10478"/>
    <w:rsid w:val="00E112AD"/>
    <w:rsid w:val="00E115BC"/>
    <w:rsid w:val="00E11B2D"/>
    <w:rsid w:val="00E12CC1"/>
    <w:rsid w:val="00E17206"/>
    <w:rsid w:val="00E1753C"/>
    <w:rsid w:val="00E24074"/>
    <w:rsid w:val="00E24866"/>
    <w:rsid w:val="00E25648"/>
    <w:rsid w:val="00E259D0"/>
    <w:rsid w:val="00E25D5A"/>
    <w:rsid w:val="00E2679E"/>
    <w:rsid w:val="00E274FF"/>
    <w:rsid w:val="00E323E4"/>
    <w:rsid w:val="00E32ACF"/>
    <w:rsid w:val="00E32D4E"/>
    <w:rsid w:val="00E330F2"/>
    <w:rsid w:val="00E33A0E"/>
    <w:rsid w:val="00E37665"/>
    <w:rsid w:val="00E42998"/>
    <w:rsid w:val="00E42FCD"/>
    <w:rsid w:val="00E446C6"/>
    <w:rsid w:val="00E60202"/>
    <w:rsid w:val="00E607F5"/>
    <w:rsid w:val="00E61063"/>
    <w:rsid w:val="00E637CD"/>
    <w:rsid w:val="00E66844"/>
    <w:rsid w:val="00E6762B"/>
    <w:rsid w:val="00E74A55"/>
    <w:rsid w:val="00E773AD"/>
    <w:rsid w:val="00E828BD"/>
    <w:rsid w:val="00E830D8"/>
    <w:rsid w:val="00E8312E"/>
    <w:rsid w:val="00E8645C"/>
    <w:rsid w:val="00E878AC"/>
    <w:rsid w:val="00E87E1B"/>
    <w:rsid w:val="00E93C4F"/>
    <w:rsid w:val="00E954EC"/>
    <w:rsid w:val="00EA0AD5"/>
    <w:rsid w:val="00EA1341"/>
    <w:rsid w:val="00EA4B22"/>
    <w:rsid w:val="00EA5DA1"/>
    <w:rsid w:val="00EA5EA3"/>
    <w:rsid w:val="00EB0DA7"/>
    <w:rsid w:val="00EB12AD"/>
    <w:rsid w:val="00EB15A3"/>
    <w:rsid w:val="00EB268F"/>
    <w:rsid w:val="00EB52D5"/>
    <w:rsid w:val="00EB570B"/>
    <w:rsid w:val="00EB6C5B"/>
    <w:rsid w:val="00EB704B"/>
    <w:rsid w:val="00EB7840"/>
    <w:rsid w:val="00EC49FA"/>
    <w:rsid w:val="00EC531C"/>
    <w:rsid w:val="00EC6DAF"/>
    <w:rsid w:val="00EC734F"/>
    <w:rsid w:val="00EC7637"/>
    <w:rsid w:val="00EC769D"/>
    <w:rsid w:val="00ED29F5"/>
    <w:rsid w:val="00ED2E8C"/>
    <w:rsid w:val="00ED4D62"/>
    <w:rsid w:val="00ED6FE0"/>
    <w:rsid w:val="00EE42D3"/>
    <w:rsid w:val="00EE48C8"/>
    <w:rsid w:val="00EE6061"/>
    <w:rsid w:val="00EE65AC"/>
    <w:rsid w:val="00EE7C20"/>
    <w:rsid w:val="00EF16F2"/>
    <w:rsid w:val="00EF1E2F"/>
    <w:rsid w:val="00EF2A96"/>
    <w:rsid w:val="00EF34A9"/>
    <w:rsid w:val="00EF4F6D"/>
    <w:rsid w:val="00EF6D8C"/>
    <w:rsid w:val="00EF7DA0"/>
    <w:rsid w:val="00F003F6"/>
    <w:rsid w:val="00F01ABB"/>
    <w:rsid w:val="00F02604"/>
    <w:rsid w:val="00F03526"/>
    <w:rsid w:val="00F040DA"/>
    <w:rsid w:val="00F10B4D"/>
    <w:rsid w:val="00F116C0"/>
    <w:rsid w:val="00F12D93"/>
    <w:rsid w:val="00F16F72"/>
    <w:rsid w:val="00F200A0"/>
    <w:rsid w:val="00F20A5D"/>
    <w:rsid w:val="00F20DBD"/>
    <w:rsid w:val="00F219AC"/>
    <w:rsid w:val="00F21B95"/>
    <w:rsid w:val="00F24B65"/>
    <w:rsid w:val="00F25D53"/>
    <w:rsid w:val="00F26E21"/>
    <w:rsid w:val="00F27856"/>
    <w:rsid w:val="00F35418"/>
    <w:rsid w:val="00F364AF"/>
    <w:rsid w:val="00F37EC8"/>
    <w:rsid w:val="00F4366F"/>
    <w:rsid w:val="00F443F2"/>
    <w:rsid w:val="00F46154"/>
    <w:rsid w:val="00F47B6C"/>
    <w:rsid w:val="00F530BF"/>
    <w:rsid w:val="00F54BD3"/>
    <w:rsid w:val="00F5734C"/>
    <w:rsid w:val="00F60640"/>
    <w:rsid w:val="00F60EB6"/>
    <w:rsid w:val="00F62E84"/>
    <w:rsid w:val="00F7031D"/>
    <w:rsid w:val="00F70C9B"/>
    <w:rsid w:val="00F746CF"/>
    <w:rsid w:val="00F74E03"/>
    <w:rsid w:val="00F7686A"/>
    <w:rsid w:val="00F76998"/>
    <w:rsid w:val="00F82323"/>
    <w:rsid w:val="00F825FF"/>
    <w:rsid w:val="00F838F0"/>
    <w:rsid w:val="00F84E58"/>
    <w:rsid w:val="00F85B25"/>
    <w:rsid w:val="00F91692"/>
    <w:rsid w:val="00F92830"/>
    <w:rsid w:val="00F93C99"/>
    <w:rsid w:val="00F949EC"/>
    <w:rsid w:val="00F9722E"/>
    <w:rsid w:val="00FA0A1C"/>
    <w:rsid w:val="00FA3595"/>
    <w:rsid w:val="00FA40DB"/>
    <w:rsid w:val="00FB09D7"/>
    <w:rsid w:val="00FB214F"/>
    <w:rsid w:val="00FB23B0"/>
    <w:rsid w:val="00FB4ABD"/>
    <w:rsid w:val="00FB5450"/>
    <w:rsid w:val="00FB572D"/>
    <w:rsid w:val="00FC1BF1"/>
    <w:rsid w:val="00FC2A47"/>
    <w:rsid w:val="00FD2AD0"/>
    <w:rsid w:val="00FD413F"/>
    <w:rsid w:val="00FD424F"/>
    <w:rsid w:val="00FD6AF7"/>
    <w:rsid w:val="00FE0752"/>
    <w:rsid w:val="00FE087F"/>
    <w:rsid w:val="00FE0FF7"/>
    <w:rsid w:val="00FE23CB"/>
    <w:rsid w:val="00FE31D7"/>
    <w:rsid w:val="00FE38B8"/>
    <w:rsid w:val="00FE6E65"/>
    <w:rsid w:val="00FF0461"/>
    <w:rsid w:val="00FF0A9C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6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46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DC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B4ABD"/>
    <w:rPr>
      <w:color w:val="800080" w:themeColor="followedHyperlink"/>
      <w:u w:val="single"/>
    </w:rPr>
  </w:style>
  <w:style w:type="table" w:styleId="Table3Deffects3">
    <w:name w:val="Table 3D effects 3"/>
    <w:basedOn w:val="TableNormal"/>
    <w:rsid w:val="003A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9957-B3EF-4E27-A66A-4406622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Wharton School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Sigurdsson</dc:creator>
  <cp:keywords/>
  <dc:description/>
  <cp:lastModifiedBy>Gustav Sigurdsson</cp:lastModifiedBy>
  <cp:revision>96</cp:revision>
  <cp:lastPrinted>2008-01-09T23:15:00Z</cp:lastPrinted>
  <dcterms:created xsi:type="dcterms:W3CDTF">2008-11-19T18:08:00Z</dcterms:created>
  <dcterms:modified xsi:type="dcterms:W3CDTF">2009-01-11T23:49:00Z</dcterms:modified>
</cp:coreProperties>
</file>