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610140" w:rsidTr="00610140">
        <w:tc>
          <w:tcPr>
            <w:tcW w:w="9576" w:type="dxa"/>
            <w:tcBorders>
              <w:top w:val="nil"/>
              <w:left w:val="nil"/>
              <w:bottom w:val="nil"/>
              <w:right w:val="nil"/>
            </w:tcBorders>
          </w:tcPr>
          <w:p w:rsidR="00610140" w:rsidRPr="00610140" w:rsidRDefault="00610140" w:rsidP="00610140">
            <w:pPr>
              <w:spacing w:after="120"/>
              <w:jc w:val="center"/>
              <w:rPr>
                <w:b/>
                <w:sz w:val="28"/>
              </w:rPr>
            </w:pPr>
            <w:r w:rsidRPr="00610140">
              <w:rPr>
                <w:b/>
                <w:sz w:val="28"/>
              </w:rPr>
              <w:t>Henkel Integrative Case</w:t>
            </w:r>
          </w:p>
          <w:p w:rsidR="00610140" w:rsidRDefault="00610140" w:rsidP="00610140">
            <w:pPr>
              <w:spacing w:after="120"/>
              <w:jc w:val="center"/>
            </w:pPr>
            <w:r>
              <w:t>Professor David Wessels</w:t>
            </w:r>
          </w:p>
          <w:p w:rsidR="00610140" w:rsidRDefault="00610140" w:rsidP="00610140">
            <w:pPr>
              <w:spacing w:after="120"/>
              <w:jc w:val="center"/>
            </w:pPr>
            <w:r>
              <w:t>The Wharton School of the University of Pennsylvania</w:t>
            </w:r>
          </w:p>
          <w:p w:rsidR="00610140" w:rsidRDefault="00610140" w:rsidP="00610140">
            <w:pPr>
              <w:spacing w:after="120"/>
            </w:pPr>
          </w:p>
          <w:p w:rsidR="00610140" w:rsidRDefault="00610140" w:rsidP="00610140">
            <w:pPr>
              <w:spacing w:after="120" w:line="360" w:lineRule="auto"/>
            </w:pPr>
            <w:r w:rsidRPr="008A0932">
              <w:t xml:space="preserve">Available on this website </w:t>
            </w:r>
            <w:r>
              <w:t xml:space="preserve">is a comprehensive case that analyzes and values Henkel AG, a $13 billion German consumer products company.  The case builds upon material in Chapters 5-14 of </w:t>
            </w:r>
            <w:r w:rsidRPr="005767F9">
              <w:rPr>
                <w:u w:val="single"/>
              </w:rPr>
              <w:t>Valuation, Measuring and Managing the Value of Company</w:t>
            </w:r>
            <w:r>
              <w:rPr>
                <w:u w:val="single"/>
              </w:rPr>
              <w:t>, 5</w:t>
            </w:r>
            <w:r w:rsidRPr="003A2CAF">
              <w:rPr>
                <w:u w:val="single"/>
                <w:vertAlign w:val="superscript"/>
              </w:rPr>
              <w:t>th</w:t>
            </w:r>
            <w:r>
              <w:rPr>
                <w:u w:val="single"/>
              </w:rPr>
              <w:t xml:space="preserve"> Edition</w:t>
            </w:r>
            <w:r>
              <w:t>.</w:t>
            </w:r>
          </w:p>
          <w:p w:rsidR="00610140" w:rsidRPr="00610140" w:rsidRDefault="00610140" w:rsidP="00610140">
            <w:pPr>
              <w:spacing w:before="240" w:after="120" w:line="360" w:lineRule="auto"/>
              <w:rPr>
                <w:b/>
                <w:sz w:val="24"/>
              </w:rPr>
            </w:pPr>
            <w:r w:rsidRPr="00610140">
              <w:rPr>
                <w:b/>
                <w:sz w:val="24"/>
              </w:rPr>
              <w:t>Case Structure</w:t>
            </w:r>
          </w:p>
          <w:p w:rsidR="00610140" w:rsidRDefault="00610140" w:rsidP="00610140">
            <w:pPr>
              <w:spacing w:after="120" w:line="360" w:lineRule="auto"/>
            </w:pPr>
            <w:r>
              <w:t>The integrative case contains 5 subparts.  In the first case, we introduce the class to Henkel at the most fundamental level, i.e. how large are they, what do they sell, and from where in the organization does growth and profit come from?  In the second section, students reorganize the income statement and balance sheet for Henkel into NOPLAT and invested capital respectively, in order to determine return on invested capital (ROIC).  The third subsection uses reorganized financial statements to benchmark Henkel AG to Reckitt Benckiser (line by line) and a broader set of companies (for selected data).  In the fourth case, students determine the cost of capital for Henkel AG (using an unlevered industry beta) and a cost of capital for each division.  In the final case, we value Henkel using discounted cash flow using “as-is” forecasts.</w:t>
            </w:r>
          </w:p>
          <w:p w:rsidR="00610140" w:rsidRPr="00610140" w:rsidRDefault="00610140" w:rsidP="00610140">
            <w:pPr>
              <w:spacing w:before="240" w:after="120" w:line="360" w:lineRule="auto"/>
              <w:rPr>
                <w:b/>
                <w:sz w:val="24"/>
              </w:rPr>
            </w:pPr>
            <w:r w:rsidRPr="00610140">
              <w:rPr>
                <w:b/>
                <w:sz w:val="24"/>
              </w:rPr>
              <w:t>Case Instructions</w:t>
            </w:r>
          </w:p>
          <w:p w:rsidR="00610140" w:rsidRDefault="00610140" w:rsidP="00610140">
            <w:pPr>
              <w:spacing w:after="120" w:line="360" w:lineRule="auto"/>
            </w:pPr>
            <w:r>
              <w:t xml:space="preserve">Each case contains (1) students instructions, (2) an annual report or excel spreadsheet (to be distributed with the instructions), and (3) an excel solution or sample presentation (and in some cases both).  When running the case, only release PDFs of answer keys; otherwise you may get the answer key back in future years.  To protect the case for other instructors, please DO NOT </w:t>
            </w:r>
            <w:proofErr w:type="gramStart"/>
            <w:r>
              <w:t>POST</w:t>
            </w:r>
            <w:proofErr w:type="gramEnd"/>
            <w:r>
              <w:t xml:space="preserve"> any material (especially solutions) on a public site.</w:t>
            </w:r>
          </w:p>
          <w:p w:rsidR="00610140" w:rsidRDefault="00610140" w:rsidP="00610140">
            <w:pPr>
              <w:spacing w:after="120" w:line="360" w:lineRule="auto"/>
            </w:pPr>
            <w:r>
              <w:t xml:space="preserve">Although the case follows the Valuation text closely, it does not make every possible adjustment.  For instance, a </w:t>
            </w:r>
            <w:r>
              <w:rPr>
                <w:rFonts w:cstheme="minorHAnsi"/>
              </w:rPr>
              <w:t>£</w:t>
            </w:r>
            <w:r>
              <w:t xml:space="preserve">3 million hedging asset in other assets of Reckitt Benckiser was ignored (i.e. treated as operating).  To make every adjustment would have made the case unbearably complex. Each student instruction provides details on how to treat various line items. Beyond that, I leave it to each instructor to decide the level of appropriate complexity.  </w:t>
            </w:r>
          </w:p>
          <w:p w:rsidR="00610140" w:rsidRDefault="00610140" w:rsidP="00610140">
            <w:pPr>
              <w:spacing w:after="120" w:line="360" w:lineRule="auto"/>
            </w:pPr>
            <w:r>
              <w:t xml:space="preserve">If you find an error, inconsistency, or potential improvement to the case, please let me know.  I will </w:t>
            </w:r>
            <w:r>
              <w:lastRenderedPageBreak/>
              <w:t xml:space="preserve">update the case accordingly.  I plan to update the case annually in April of each year.  I can be reached at </w:t>
            </w:r>
            <w:hyperlink r:id="rId4" w:history="1">
              <w:r w:rsidRPr="00AC2C8A">
                <w:rPr>
                  <w:rStyle w:val="Hyperlink"/>
                </w:rPr>
                <w:t>wessels@wharton.upenn.edu</w:t>
              </w:r>
            </w:hyperlink>
            <w:r>
              <w:t>.  Good luck!</w:t>
            </w:r>
          </w:p>
          <w:p w:rsidR="00610140" w:rsidRDefault="00610140" w:rsidP="00610140">
            <w:pPr>
              <w:spacing w:after="120"/>
              <w:rPr>
                <w:b/>
              </w:rPr>
            </w:pPr>
          </w:p>
          <w:p w:rsidR="00610140" w:rsidRDefault="00610140" w:rsidP="00610140">
            <w:pPr>
              <w:spacing w:after="120"/>
              <w:rPr>
                <w:b/>
              </w:rPr>
            </w:pPr>
            <w:r w:rsidRPr="00F233A6">
              <w:rPr>
                <w:b/>
              </w:rPr>
              <w:t>Henkel Integrative Case</w:t>
            </w:r>
          </w:p>
          <w:p w:rsidR="00610140" w:rsidRDefault="00610140" w:rsidP="00610140">
            <w:r>
              <w:t>Case Materials</w:t>
            </w:r>
          </w:p>
          <w:p w:rsidR="00610140" w:rsidRDefault="00610140" w:rsidP="00610140">
            <w:pPr>
              <w:spacing w:after="120"/>
              <w:rPr>
                <w:b/>
              </w:rPr>
            </w:pPr>
          </w:p>
        </w:tc>
      </w:tr>
    </w:tbl>
    <w:p w:rsidR="00815E51" w:rsidRDefault="00815E51"/>
    <w:tbl>
      <w:tblPr>
        <w:tblStyle w:val="TableGrid"/>
        <w:tblW w:w="0" w:type="auto"/>
        <w:tblLook w:val="04A0"/>
      </w:tblPr>
      <w:tblGrid>
        <w:gridCol w:w="640"/>
        <w:gridCol w:w="1921"/>
        <w:gridCol w:w="2390"/>
        <w:gridCol w:w="2288"/>
        <w:gridCol w:w="2337"/>
      </w:tblGrid>
      <w:tr w:rsidR="00DE2C5D" w:rsidTr="00E37EE9">
        <w:tc>
          <w:tcPr>
            <w:tcW w:w="511" w:type="dxa"/>
            <w:vAlign w:val="bottom"/>
          </w:tcPr>
          <w:p w:rsidR="00DE2C5D" w:rsidRPr="00E37EE9" w:rsidRDefault="00E37EE9" w:rsidP="00E37EE9">
            <w:pPr>
              <w:spacing w:after="120" w:line="300" w:lineRule="auto"/>
              <w:rPr>
                <w:b/>
              </w:rPr>
            </w:pPr>
            <w:r w:rsidRPr="00E37EE9">
              <w:rPr>
                <w:b/>
              </w:rPr>
              <w:t>Case</w:t>
            </w:r>
          </w:p>
        </w:tc>
        <w:tc>
          <w:tcPr>
            <w:tcW w:w="1937" w:type="dxa"/>
            <w:vAlign w:val="bottom"/>
          </w:tcPr>
          <w:p w:rsidR="00DE2C5D" w:rsidRPr="00DE2C5D" w:rsidRDefault="00E17A32" w:rsidP="00E37EE9">
            <w:pPr>
              <w:spacing w:after="120" w:line="300" w:lineRule="auto"/>
              <w:rPr>
                <w:b/>
              </w:rPr>
            </w:pPr>
            <w:r>
              <w:rPr>
                <w:b/>
              </w:rPr>
              <w:t>Student</w:t>
            </w:r>
            <w:r w:rsidR="00CB06B8">
              <w:rPr>
                <w:b/>
              </w:rPr>
              <w:t xml:space="preserve"> </w:t>
            </w:r>
            <w:r w:rsidR="00DE2C5D" w:rsidRPr="00DE2C5D">
              <w:rPr>
                <w:b/>
              </w:rPr>
              <w:t>Instructions</w:t>
            </w:r>
          </w:p>
        </w:tc>
        <w:tc>
          <w:tcPr>
            <w:tcW w:w="2430" w:type="dxa"/>
            <w:vAlign w:val="bottom"/>
          </w:tcPr>
          <w:p w:rsidR="00DE2C5D" w:rsidRPr="00DE2C5D" w:rsidRDefault="00DE2C5D" w:rsidP="00E37EE9">
            <w:pPr>
              <w:spacing w:after="120" w:line="300" w:lineRule="auto"/>
              <w:rPr>
                <w:b/>
              </w:rPr>
            </w:pPr>
            <w:r w:rsidRPr="00DE2C5D">
              <w:rPr>
                <w:b/>
              </w:rPr>
              <w:t>Student Data</w:t>
            </w:r>
          </w:p>
        </w:tc>
        <w:tc>
          <w:tcPr>
            <w:tcW w:w="2325" w:type="dxa"/>
            <w:vAlign w:val="bottom"/>
          </w:tcPr>
          <w:p w:rsidR="00DE2C5D" w:rsidRPr="00DE2C5D" w:rsidRDefault="00DE2C5D" w:rsidP="00E37EE9">
            <w:pPr>
              <w:spacing w:after="120" w:line="300" w:lineRule="auto"/>
              <w:rPr>
                <w:b/>
              </w:rPr>
            </w:pPr>
            <w:r>
              <w:rPr>
                <w:b/>
              </w:rPr>
              <w:t>Excel Solution</w:t>
            </w:r>
          </w:p>
        </w:tc>
        <w:tc>
          <w:tcPr>
            <w:tcW w:w="2373" w:type="dxa"/>
            <w:vAlign w:val="bottom"/>
          </w:tcPr>
          <w:p w:rsidR="00DE2C5D" w:rsidRPr="00DE2C5D" w:rsidRDefault="00DE2C5D" w:rsidP="00E37EE9">
            <w:pPr>
              <w:spacing w:after="120" w:line="300" w:lineRule="auto"/>
              <w:rPr>
                <w:b/>
              </w:rPr>
            </w:pPr>
            <w:r w:rsidRPr="00DE2C5D">
              <w:rPr>
                <w:b/>
              </w:rPr>
              <w:t>Sample Presentation</w:t>
            </w:r>
          </w:p>
        </w:tc>
      </w:tr>
      <w:tr w:rsidR="00DE2C5D" w:rsidTr="00DE2C5D">
        <w:tc>
          <w:tcPr>
            <w:tcW w:w="511" w:type="dxa"/>
          </w:tcPr>
          <w:p w:rsidR="00DE2C5D" w:rsidRDefault="00DE2C5D" w:rsidP="00074E81">
            <w:pPr>
              <w:spacing w:after="120" w:line="300" w:lineRule="auto"/>
            </w:pPr>
            <w:r>
              <w:t>1</w:t>
            </w:r>
          </w:p>
        </w:tc>
        <w:tc>
          <w:tcPr>
            <w:tcW w:w="1937" w:type="dxa"/>
          </w:tcPr>
          <w:p w:rsidR="00DE2C5D" w:rsidRDefault="00DE2C5D" w:rsidP="00074E81">
            <w:pPr>
              <w:spacing w:after="120" w:line="300" w:lineRule="auto"/>
            </w:pPr>
            <w:r>
              <w:t>Who is Henkel?</w:t>
            </w:r>
          </w:p>
        </w:tc>
        <w:tc>
          <w:tcPr>
            <w:tcW w:w="2430" w:type="dxa"/>
          </w:tcPr>
          <w:p w:rsidR="00DE2C5D" w:rsidRDefault="00DE2C5D" w:rsidP="00074E81">
            <w:pPr>
              <w:spacing w:after="120" w:line="300" w:lineRule="auto"/>
            </w:pPr>
            <w:r>
              <w:t>Henkel Annual Report</w:t>
            </w:r>
          </w:p>
        </w:tc>
        <w:tc>
          <w:tcPr>
            <w:tcW w:w="2325" w:type="dxa"/>
          </w:tcPr>
          <w:p w:rsidR="00DE2C5D" w:rsidRDefault="00E30B9F" w:rsidP="00074E81">
            <w:pPr>
              <w:spacing w:after="120" w:line="300" w:lineRule="auto"/>
            </w:pPr>
            <w:r>
              <w:t>N/A</w:t>
            </w:r>
          </w:p>
        </w:tc>
        <w:tc>
          <w:tcPr>
            <w:tcW w:w="2373" w:type="dxa"/>
          </w:tcPr>
          <w:p w:rsidR="00DE2C5D" w:rsidRDefault="001517E7" w:rsidP="00074E81">
            <w:pPr>
              <w:spacing w:after="120" w:line="300" w:lineRule="auto"/>
            </w:pPr>
            <w:r>
              <w:t>Henkel Overview</w:t>
            </w:r>
          </w:p>
          <w:p w:rsidR="001517E7" w:rsidRDefault="001517E7" w:rsidP="00074E81">
            <w:pPr>
              <w:spacing w:after="120" w:line="300" w:lineRule="auto"/>
            </w:pPr>
            <w:r>
              <w:t>Henkel Overview (supporting graphs)</w:t>
            </w:r>
          </w:p>
        </w:tc>
      </w:tr>
      <w:tr w:rsidR="00DE2C5D" w:rsidTr="00DE2C5D">
        <w:tc>
          <w:tcPr>
            <w:tcW w:w="511" w:type="dxa"/>
          </w:tcPr>
          <w:p w:rsidR="00DE2C5D" w:rsidRDefault="00DE2C5D" w:rsidP="00074E81">
            <w:pPr>
              <w:spacing w:after="120" w:line="300" w:lineRule="auto"/>
            </w:pPr>
            <w:r>
              <w:t>2</w:t>
            </w:r>
          </w:p>
        </w:tc>
        <w:tc>
          <w:tcPr>
            <w:tcW w:w="1937" w:type="dxa"/>
          </w:tcPr>
          <w:p w:rsidR="00DE2C5D" w:rsidRDefault="00DE2C5D" w:rsidP="00074E81">
            <w:pPr>
              <w:spacing w:after="120" w:line="300" w:lineRule="auto"/>
            </w:pPr>
            <w:r>
              <w:t>Reorganizing the Balance Sheet</w:t>
            </w:r>
          </w:p>
        </w:tc>
        <w:tc>
          <w:tcPr>
            <w:tcW w:w="2430" w:type="dxa"/>
          </w:tcPr>
          <w:p w:rsidR="00DE2C5D" w:rsidRDefault="00DE2C5D" w:rsidP="00074E81">
            <w:pPr>
              <w:spacing w:after="120" w:line="300" w:lineRule="auto"/>
            </w:pPr>
            <w:r>
              <w:t xml:space="preserve">Henkel Annual Report </w:t>
            </w:r>
          </w:p>
        </w:tc>
        <w:tc>
          <w:tcPr>
            <w:tcW w:w="2325" w:type="dxa"/>
          </w:tcPr>
          <w:p w:rsidR="00DE2C5D" w:rsidRDefault="00E30B9F" w:rsidP="00074E81">
            <w:pPr>
              <w:spacing w:after="120" w:line="300" w:lineRule="auto"/>
            </w:pPr>
            <w:r>
              <w:t>Henkel - Reorganized</w:t>
            </w:r>
          </w:p>
        </w:tc>
        <w:tc>
          <w:tcPr>
            <w:tcW w:w="2373" w:type="dxa"/>
          </w:tcPr>
          <w:p w:rsidR="00DE2C5D" w:rsidRDefault="00E30B9F" w:rsidP="00074E81">
            <w:pPr>
              <w:spacing w:after="120" w:line="300" w:lineRule="auto"/>
            </w:pPr>
            <w:r>
              <w:t>N/A</w:t>
            </w:r>
          </w:p>
        </w:tc>
      </w:tr>
      <w:tr w:rsidR="00DE2C5D" w:rsidTr="00DE2C5D">
        <w:tc>
          <w:tcPr>
            <w:tcW w:w="511" w:type="dxa"/>
          </w:tcPr>
          <w:p w:rsidR="00DE2C5D" w:rsidRDefault="00DE2C5D" w:rsidP="00074E81">
            <w:pPr>
              <w:spacing w:after="120" w:line="300" w:lineRule="auto"/>
            </w:pPr>
            <w:r>
              <w:t>3</w:t>
            </w:r>
          </w:p>
        </w:tc>
        <w:tc>
          <w:tcPr>
            <w:tcW w:w="1937" w:type="dxa"/>
          </w:tcPr>
          <w:p w:rsidR="00DE2C5D" w:rsidRDefault="00DE2C5D" w:rsidP="00074E81">
            <w:pPr>
              <w:spacing w:after="120" w:line="300" w:lineRule="auto"/>
            </w:pPr>
            <w:r>
              <w:t>Competitive Benchmarking</w:t>
            </w:r>
          </w:p>
        </w:tc>
        <w:tc>
          <w:tcPr>
            <w:tcW w:w="2430" w:type="dxa"/>
          </w:tcPr>
          <w:p w:rsidR="00DE2C5D" w:rsidRDefault="00A557AE" w:rsidP="00074E81">
            <w:pPr>
              <w:spacing w:after="120" w:line="300" w:lineRule="auto"/>
            </w:pPr>
            <w:r>
              <w:t>Henkel - Reorganized</w:t>
            </w:r>
          </w:p>
          <w:p w:rsidR="00A557AE" w:rsidRDefault="00DE2C5D" w:rsidP="00074E81">
            <w:pPr>
              <w:spacing w:after="120" w:line="300" w:lineRule="auto"/>
            </w:pPr>
            <w:r>
              <w:t xml:space="preserve">Reckitt </w:t>
            </w:r>
            <w:r w:rsidR="00A557AE">
              <w:t xml:space="preserve">Reorganized </w:t>
            </w:r>
          </w:p>
          <w:p w:rsidR="00DE2C5D" w:rsidRDefault="00DE2C5D" w:rsidP="00074E81">
            <w:pPr>
              <w:spacing w:after="120" w:line="300" w:lineRule="auto"/>
            </w:pPr>
            <w:r>
              <w:t>Select Financial &amp; Market Data</w:t>
            </w:r>
          </w:p>
          <w:p w:rsidR="00DE2C5D" w:rsidRDefault="00DE2C5D" w:rsidP="00074E81">
            <w:pPr>
              <w:spacing w:after="120" w:line="300" w:lineRule="auto"/>
            </w:pPr>
          </w:p>
        </w:tc>
        <w:tc>
          <w:tcPr>
            <w:tcW w:w="2325" w:type="dxa"/>
          </w:tcPr>
          <w:p w:rsidR="00DE2C5D" w:rsidRDefault="001517E7" w:rsidP="00074E81">
            <w:pPr>
              <w:spacing w:after="120" w:line="300" w:lineRule="auto"/>
            </w:pPr>
            <w:r>
              <w:t>Henkel – Ratios</w:t>
            </w:r>
          </w:p>
          <w:p w:rsidR="001517E7" w:rsidRDefault="001517E7" w:rsidP="00074E81">
            <w:pPr>
              <w:spacing w:after="120" w:line="300" w:lineRule="auto"/>
            </w:pPr>
            <w:r>
              <w:t>Reckitt – Ratios</w:t>
            </w:r>
          </w:p>
        </w:tc>
        <w:tc>
          <w:tcPr>
            <w:tcW w:w="2373" w:type="dxa"/>
          </w:tcPr>
          <w:p w:rsidR="00DE2C5D" w:rsidRDefault="00CB06B8" w:rsidP="00074E81">
            <w:pPr>
              <w:spacing w:after="120" w:line="300" w:lineRule="auto"/>
            </w:pPr>
            <w:r>
              <w:t>N/A</w:t>
            </w:r>
          </w:p>
        </w:tc>
      </w:tr>
      <w:tr w:rsidR="00DE2C5D" w:rsidTr="00DE2C5D">
        <w:tc>
          <w:tcPr>
            <w:tcW w:w="511" w:type="dxa"/>
          </w:tcPr>
          <w:p w:rsidR="00DE2C5D" w:rsidRDefault="00DE2C5D" w:rsidP="00074E81">
            <w:pPr>
              <w:spacing w:after="120" w:line="300" w:lineRule="auto"/>
            </w:pPr>
            <w:r>
              <w:t>4</w:t>
            </w:r>
          </w:p>
        </w:tc>
        <w:tc>
          <w:tcPr>
            <w:tcW w:w="1937" w:type="dxa"/>
          </w:tcPr>
          <w:p w:rsidR="00DE2C5D" w:rsidRDefault="00DE2C5D" w:rsidP="00074E81">
            <w:pPr>
              <w:spacing w:after="120" w:line="300" w:lineRule="auto"/>
            </w:pPr>
            <w:r>
              <w:t>Cost of Capital</w:t>
            </w:r>
          </w:p>
        </w:tc>
        <w:tc>
          <w:tcPr>
            <w:tcW w:w="2430" w:type="dxa"/>
          </w:tcPr>
          <w:p w:rsidR="00DE2C5D" w:rsidRDefault="00DE2C5D" w:rsidP="00074E81">
            <w:pPr>
              <w:spacing w:after="120" w:line="300" w:lineRule="auto"/>
            </w:pPr>
            <w:r>
              <w:t>Select Financial &amp; Market Data</w:t>
            </w:r>
          </w:p>
          <w:p w:rsidR="00DE2C5D" w:rsidRDefault="00DE2C5D" w:rsidP="00074E81">
            <w:pPr>
              <w:spacing w:after="120" w:line="300" w:lineRule="auto"/>
            </w:pPr>
          </w:p>
        </w:tc>
        <w:tc>
          <w:tcPr>
            <w:tcW w:w="2325" w:type="dxa"/>
          </w:tcPr>
          <w:p w:rsidR="001209E2" w:rsidRDefault="001209E2" w:rsidP="001209E2">
            <w:pPr>
              <w:spacing w:after="120" w:line="300" w:lineRule="auto"/>
            </w:pPr>
            <w:r>
              <w:t>Henkel – Cost of Capital</w:t>
            </w:r>
          </w:p>
          <w:p w:rsidR="00DE2C5D" w:rsidRDefault="00DE2C5D" w:rsidP="00074E81">
            <w:pPr>
              <w:spacing w:after="120" w:line="300" w:lineRule="auto"/>
            </w:pPr>
          </w:p>
        </w:tc>
        <w:tc>
          <w:tcPr>
            <w:tcW w:w="2373" w:type="dxa"/>
          </w:tcPr>
          <w:p w:rsidR="00DE2C5D" w:rsidRDefault="00CB06B8" w:rsidP="00074E81">
            <w:pPr>
              <w:spacing w:after="120" w:line="300" w:lineRule="auto"/>
            </w:pPr>
            <w:r>
              <w:t>N/A</w:t>
            </w:r>
          </w:p>
        </w:tc>
      </w:tr>
      <w:tr w:rsidR="00DE2C5D" w:rsidTr="00DE2C5D">
        <w:tc>
          <w:tcPr>
            <w:tcW w:w="511" w:type="dxa"/>
          </w:tcPr>
          <w:p w:rsidR="00DE2C5D" w:rsidRDefault="00DE2C5D" w:rsidP="00074E81">
            <w:pPr>
              <w:spacing w:after="120" w:line="300" w:lineRule="auto"/>
            </w:pPr>
            <w:r>
              <w:t>5</w:t>
            </w:r>
          </w:p>
        </w:tc>
        <w:tc>
          <w:tcPr>
            <w:tcW w:w="1937" w:type="dxa"/>
          </w:tcPr>
          <w:p w:rsidR="00DE2C5D" w:rsidRDefault="00DE2C5D" w:rsidP="00074E81">
            <w:pPr>
              <w:spacing w:after="120" w:line="300" w:lineRule="auto"/>
            </w:pPr>
            <w:r>
              <w:t>Valuation</w:t>
            </w:r>
          </w:p>
        </w:tc>
        <w:tc>
          <w:tcPr>
            <w:tcW w:w="2430" w:type="dxa"/>
          </w:tcPr>
          <w:p w:rsidR="00DE2C5D" w:rsidRDefault="001209E2" w:rsidP="00074E81">
            <w:pPr>
              <w:spacing w:after="120" w:line="300" w:lineRule="auto"/>
            </w:pPr>
            <w:r>
              <w:t>No Additional Data</w:t>
            </w:r>
          </w:p>
        </w:tc>
        <w:tc>
          <w:tcPr>
            <w:tcW w:w="2325" w:type="dxa"/>
          </w:tcPr>
          <w:p w:rsidR="00DE2C5D" w:rsidRDefault="004F1FC3" w:rsidP="00074E81">
            <w:pPr>
              <w:spacing w:after="120" w:line="300" w:lineRule="auto"/>
            </w:pPr>
            <w:r>
              <w:t>Henkel - Valuation</w:t>
            </w:r>
          </w:p>
        </w:tc>
        <w:tc>
          <w:tcPr>
            <w:tcW w:w="2373" w:type="dxa"/>
          </w:tcPr>
          <w:p w:rsidR="00DE2C5D" w:rsidRDefault="00CB06B8" w:rsidP="00074E81">
            <w:pPr>
              <w:spacing w:after="120" w:line="300" w:lineRule="auto"/>
            </w:pPr>
            <w:r>
              <w:t>N/A</w:t>
            </w:r>
          </w:p>
        </w:tc>
      </w:tr>
    </w:tbl>
    <w:p w:rsidR="00DE2C5D" w:rsidRDefault="00DE2C5D"/>
    <w:sectPr w:rsidR="00DE2C5D" w:rsidSect="002F22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DE2C5D"/>
    <w:rsid w:val="00074E81"/>
    <w:rsid w:val="00077C0F"/>
    <w:rsid w:val="001209E2"/>
    <w:rsid w:val="00122145"/>
    <w:rsid w:val="001517E7"/>
    <w:rsid w:val="0019461E"/>
    <w:rsid w:val="002F22BC"/>
    <w:rsid w:val="00363398"/>
    <w:rsid w:val="003905D7"/>
    <w:rsid w:val="003A2CAF"/>
    <w:rsid w:val="004F1FC3"/>
    <w:rsid w:val="005767F9"/>
    <w:rsid w:val="00610140"/>
    <w:rsid w:val="007028E8"/>
    <w:rsid w:val="00815E51"/>
    <w:rsid w:val="008A0932"/>
    <w:rsid w:val="00A557AE"/>
    <w:rsid w:val="00AF4728"/>
    <w:rsid w:val="00B42926"/>
    <w:rsid w:val="00B519F6"/>
    <w:rsid w:val="00CB06B8"/>
    <w:rsid w:val="00D3266F"/>
    <w:rsid w:val="00DE2C5D"/>
    <w:rsid w:val="00DE5F4B"/>
    <w:rsid w:val="00E17A32"/>
    <w:rsid w:val="00E30B9F"/>
    <w:rsid w:val="00E37EE9"/>
    <w:rsid w:val="00E91D6F"/>
    <w:rsid w:val="00F91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101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ssels@wharton.upe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448</Words>
  <Characters>2556</Characters>
  <Application>Microsoft Office Word</Application>
  <DocSecurity>0</DocSecurity>
  <Lines>21</Lines>
  <Paragraphs>5</Paragraphs>
  <ScaleCrop>false</ScaleCrop>
  <Company>University of Pennsylvania</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Wessels</dc:creator>
  <cp:lastModifiedBy>Professor David Wessels</cp:lastModifiedBy>
  <cp:revision>26</cp:revision>
  <dcterms:created xsi:type="dcterms:W3CDTF">2010-11-19T16:57:00Z</dcterms:created>
  <dcterms:modified xsi:type="dcterms:W3CDTF">2010-11-21T19:10:00Z</dcterms:modified>
</cp:coreProperties>
</file>