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1E" w:rsidRDefault="001D541E" w:rsidP="001D541E">
      <w:pPr>
        <w:spacing w:after="0" w:line="360" w:lineRule="auto"/>
        <w:jc w:val="center"/>
        <w:rPr>
          <w:b/>
        </w:rPr>
      </w:pPr>
      <w:r>
        <w:rPr>
          <w:b/>
        </w:rPr>
        <w:t xml:space="preserve">Valuation: Measuring and Managing </w:t>
      </w:r>
      <w:r w:rsidR="000C5DE4">
        <w:rPr>
          <w:b/>
        </w:rPr>
        <w:t>the Value of Companies</w:t>
      </w:r>
    </w:p>
    <w:p w:rsidR="00340D3E" w:rsidRPr="00F233A6" w:rsidRDefault="00F233A6" w:rsidP="001D541E">
      <w:pPr>
        <w:spacing w:after="0" w:line="360" w:lineRule="auto"/>
        <w:jc w:val="center"/>
        <w:rPr>
          <w:b/>
        </w:rPr>
      </w:pPr>
      <w:r w:rsidRPr="00F233A6">
        <w:rPr>
          <w:b/>
        </w:rPr>
        <w:t>Henkel Integrative Case</w:t>
      </w:r>
      <w:r w:rsidR="00330FBB">
        <w:rPr>
          <w:b/>
        </w:rPr>
        <w:t>: Part IV</w:t>
      </w:r>
    </w:p>
    <w:p w:rsidR="00F233A6" w:rsidRDefault="00FE70DE" w:rsidP="001D541E">
      <w:pPr>
        <w:spacing w:after="0" w:line="360" w:lineRule="auto"/>
        <w:jc w:val="center"/>
      </w:pPr>
      <w:r>
        <w:t>Cost of Capital</w:t>
      </w:r>
    </w:p>
    <w:p w:rsidR="00F233A6" w:rsidRDefault="00F233A6" w:rsidP="0092647A">
      <w:pPr>
        <w:spacing w:after="120" w:line="360" w:lineRule="auto"/>
      </w:pPr>
    </w:p>
    <w:p w:rsidR="00F233A6" w:rsidRPr="00F233A6" w:rsidRDefault="00F233A6" w:rsidP="0092647A">
      <w:pPr>
        <w:spacing w:after="120" w:line="360" w:lineRule="auto"/>
        <w:rPr>
          <w:b/>
        </w:rPr>
      </w:pPr>
      <w:r w:rsidRPr="00F233A6">
        <w:rPr>
          <w:b/>
        </w:rPr>
        <w:t>Introduction</w:t>
      </w:r>
    </w:p>
    <w:p w:rsidR="0092647A" w:rsidRPr="00151811" w:rsidRDefault="0092647A" w:rsidP="0092647A">
      <w:pPr>
        <w:pStyle w:val="ParaContinued"/>
        <w:spacing w:line="360" w:lineRule="auto"/>
        <w:ind w:left="0"/>
        <w:rPr>
          <w:rFonts w:ascii="Calibri" w:hAnsi="Calibri"/>
          <w:sz w:val="22"/>
          <w:szCs w:val="22"/>
        </w:rPr>
      </w:pPr>
      <w:r w:rsidRPr="0092647A">
        <w:rPr>
          <w:rFonts w:ascii="Calibri" w:hAnsi="Calibri"/>
          <w:sz w:val="22"/>
          <w:szCs w:val="22"/>
        </w:rPr>
        <w:t>To value a company using enterprise DCF, we discount free cash flow by the weighted average cost of capital (WACC). The weighted average cost of capital represents the opportunity cost that investors face for investing their funds in one particular business instead of others with similar risk. To determine the weighted average cost of capital, calculate its three components: the cost of equity, the after-tax cost of debt, and the company’s target capital structure. Since none of the variables are directly observable, we employ various models, assumptions, and approximations to estimate each component.</w:t>
      </w:r>
    </w:p>
    <w:p w:rsidR="00F233A6" w:rsidRDefault="00F233A6" w:rsidP="0092647A">
      <w:pPr>
        <w:spacing w:after="120" w:line="360" w:lineRule="auto"/>
      </w:pPr>
    </w:p>
    <w:p w:rsidR="00F233A6" w:rsidRPr="00F233A6" w:rsidRDefault="00F233A6" w:rsidP="0092647A">
      <w:pPr>
        <w:spacing w:after="120" w:line="360" w:lineRule="auto"/>
        <w:rPr>
          <w:b/>
        </w:rPr>
      </w:pPr>
      <w:r w:rsidRPr="00F233A6">
        <w:rPr>
          <w:b/>
        </w:rPr>
        <w:t>Instructions</w:t>
      </w:r>
    </w:p>
    <w:p w:rsidR="0092647A" w:rsidRDefault="000D1B3A" w:rsidP="0092647A">
      <w:pPr>
        <w:spacing w:after="120" w:line="360" w:lineRule="auto"/>
        <w:rPr>
          <w:rFonts w:ascii="Calibri" w:hAnsi="Calibri"/>
        </w:rPr>
      </w:pPr>
      <w:r w:rsidRPr="009C4C8E">
        <w:rPr>
          <w:rFonts w:ascii="Calibri" w:hAnsi="Calibri"/>
          <w:b/>
        </w:rPr>
        <w:t>The cost of equity</w:t>
      </w:r>
      <w:r>
        <w:rPr>
          <w:rFonts w:ascii="Calibri" w:hAnsi="Calibri"/>
        </w:rPr>
        <w:t xml:space="preserve"> is</w:t>
      </w:r>
      <w:r w:rsidRPr="00B366C2">
        <w:rPr>
          <w:rFonts w:ascii="Calibri" w:hAnsi="Calibri"/>
        </w:rPr>
        <w:t xml:space="preserve"> built on the three factors: the risk</w:t>
      </w:r>
      <w:r>
        <w:rPr>
          <w:rFonts w:ascii="Calibri" w:hAnsi="Calibri"/>
        </w:rPr>
        <w:t>-</w:t>
      </w:r>
      <w:r w:rsidRPr="00B366C2">
        <w:rPr>
          <w:rFonts w:ascii="Calibri" w:hAnsi="Calibri"/>
        </w:rPr>
        <w:t>free rate, the market risk premium, and a company</w:t>
      </w:r>
      <w:r>
        <w:rPr>
          <w:rFonts w:ascii="Calibri" w:hAnsi="Calibri"/>
        </w:rPr>
        <w:t>-</w:t>
      </w:r>
      <w:r w:rsidRPr="00B366C2">
        <w:rPr>
          <w:rFonts w:ascii="Calibri" w:hAnsi="Calibri"/>
        </w:rPr>
        <w:t>specific risk adjustment. The most commonly used model for this estimate is the capital asset pricing model (CAPM).</w:t>
      </w:r>
      <w:r>
        <w:rPr>
          <w:rFonts w:ascii="Calibri" w:hAnsi="Calibri"/>
        </w:rPr>
        <w:t xml:space="preserve">  To determine the CAPM, we need to estimate a risk free rate, the market risk premium, and the market beta.</w:t>
      </w:r>
    </w:p>
    <w:p w:rsidR="000D1B3A" w:rsidRDefault="00695042" w:rsidP="00695042">
      <w:pPr>
        <w:pStyle w:val="ListParagraph"/>
        <w:numPr>
          <w:ilvl w:val="0"/>
          <w:numId w:val="1"/>
        </w:numPr>
        <w:spacing w:after="120" w:line="360" w:lineRule="auto"/>
        <w:contextualSpacing w:val="0"/>
        <w:rPr>
          <w:rFonts w:ascii="Calibri" w:hAnsi="Calibri"/>
        </w:rPr>
      </w:pPr>
      <w:r>
        <w:rPr>
          <w:rFonts w:ascii="Calibri" w:hAnsi="Calibri"/>
        </w:rPr>
        <w:t xml:space="preserve"> </w:t>
      </w:r>
      <w:r w:rsidR="00A871F5">
        <w:rPr>
          <w:rFonts w:ascii="Calibri" w:hAnsi="Calibri"/>
        </w:rPr>
        <w:t xml:space="preserve">To determine the risk free rate, please </w:t>
      </w:r>
      <w:r w:rsidR="00522617">
        <w:rPr>
          <w:rFonts w:ascii="Calibri" w:hAnsi="Calibri"/>
        </w:rPr>
        <w:t>use Treasury data from</w:t>
      </w:r>
      <w:r w:rsidR="00A871F5">
        <w:rPr>
          <w:rFonts w:ascii="Calibri" w:hAnsi="Calibri"/>
        </w:rPr>
        <w:t xml:space="preserve"> the “</w:t>
      </w:r>
      <w:r w:rsidR="009C4C8E">
        <w:rPr>
          <w:rFonts w:ascii="Calibri" w:hAnsi="Calibri"/>
        </w:rPr>
        <w:t>Select Market Data</w:t>
      </w:r>
      <w:r w:rsidR="00B139F6">
        <w:rPr>
          <w:rFonts w:ascii="Calibri" w:hAnsi="Calibri"/>
        </w:rPr>
        <w:t xml:space="preserve">” spreadsheet.  On the “Yields” tab, </w:t>
      </w:r>
      <w:r w:rsidR="00A871F5">
        <w:rPr>
          <w:rFonts w:ascii="Calibri" w:hAnsi="Calibri"/>
        </w:rPr>
        <w:t xml:space="preserve">you will find yield-to-maturities for U.S. and German treasury rates.  </w:t>
      </w:r>
      <w:r w:rsidR="00A43F39">
        <w:rPr>
          <w:rFonts w:ascii="Calibri" w:hAnsi="Calibri"/>
        </w:rPr>
        <w:t>For Henkel AG, which treasury rate at which maturity is most appropriate</w:t>
      </w:r>
      <w:r w:rsidR="009C4C8E">
        <w:rPr>
          <w:rFonts w:ascii="Calibri" w:hAnsi="Calibri"/>
        </w:rPr>
        <w:t xml:space="preserve"> to value the company</w:t>
      </w:r>
      <w:r w:rsidR="00A43F39">
        <w:rPr>
          <w:rFonts w:ascii="Calibri" w:hAnsi="Calibri"/>
        </w:rPr>
        <w:t>?</w:t>
      </w:r>
    </w:p>
    <w:p w:rsidR="00A43F39" w:rsidRDefault="0068382F" w:rsidP="00695042">
      <w:pPr>
        <w:pStyle w:val="ListParagraph"/>
        <w:numPr>
          <w:ilvl w:val="0"/>
          <w:numId w:val="1"/>
        </w:numPr>
        <w:spacing w:after="120" w:line="360" w:lineRule="auto"/>
        <w:contextualSpacing w:val="0"/>
        <w:rPr>
          <w:rFonts w:ascii="Calibri" w:hAnsi="Calibri"/>
        </w:rPr>
      </w:pPr>
      <w:r>
        <w:rPr>
          <w:rFonts w:ascii="Calibri" w:hAnsi="Calibri"/>
        </w:rPr>
        <w:t>To det</w:t>
      </w:r>
      <w:r w:rsidR="00B45FEA">
        <w:rPr>
          <w:rFonts w:ascii="Calibri" w:hAnsi="Calibri"/>
        </w:rPr>
        <w:t xml:space="preserve">ermine Henkel’s corporate </w:t>
      </w:r>
      <w:r w:rsidR="009C4C8E">
        <w:rPr>
          <w:rFonts w:ascii="Calibri" w:hAnsi="Calibri"/>
        </w:rPr>
        <w:t xml:space="preserve">beta, unlever </w:t>
      </w:r>
      <w:r w:rsidR="00522617">
        <w:rPr>
          <w:rFonts w:ascii="Calibri" w:hAnsi="Calibri"/>
        </w:rPr>
        <w:t xml:space="preserve">(and relever) </w:t>
      </w:r>
      <w:r w:rsidR="009C4C8E">
        <w:rPr>
          <w:rFonts w:ascii="Calibri" w:hAnsi="Calibri"/>
        </w:rPr>
        <w:t xml:space="preserve">the OLS market betas for each company in the European Household and Personal Care segment. </w:t>
      </w:r>
      <w:r w:rsidR="00F15B48">
        <w:rPr>
          <w:rFonts w:ascii="Calibri" w:hAnsi="Calibri"/>
        </w:rPr>
        <w:t xml:space="preserve"> Prices can be found on the “Prices” tab of the “Select Market Data” spreadsheet.</w:t>
      </w:r>
      <w:r w:rsidR="009C4C8E">
        <w:rPr>
          <w:rFonts w:ascii="Calibri" w:hAnsi="Calibri"/>
        </w:rPr>
        <w:t xml:space="preserve"> To determine </w:t>
      </w:r>
      <w:r w:rsidR="00B45FEA">
        <w:rPr>
          <w:rFonts w:ascii="Calibri" w:hAnsi="Calibri"/>
        </w:rPr>
        <w:t xml:space="preserve">OLS market </w:t>
      </w:r>
      <w:r w:rsidR="009C4C8E">
        <w:rPr>
          <w:rFonts w:ascii="Calibri" w:hAnsi="Calibri"/>
        </w:rPr>
        <w:t xml:space="preserve">beta, </w:t>
      </w:r>
      <w:r w:rsidR="00B45FEA">
        <w:rPr>
          <w:rFonts w:ascii="Calibri" w:hAnsi="Calibri"/>
        </w:rPr>
        <w:t xml:space="preserve">regress 10-year monthly returns against the MSCI World index denominated in the same currency.   In excel, this can be done using the “SLOPE” formula.  Next, unlever the market beta using each company’s </w:t>
      </w:r>
      <w:r w:rsidR="00522617">
        <w:rPr>
          <w:rFonts w:ascii="Calibri" w:hAnsi="Calibri"/>
        </w:rPr>
        <w:t xml:space="preserve">year-end </w:t>
      </w:r>
      <w:r w:rsidR="008804A4">
        <w:rPr>
          <w:rFonts w:ascii="Calibri" w:hAnsi="Calibri"/>
        </w:rPr>
        <w:t xml:space="preserve">debt-to-equity </w:t>
      </w:r>
      <w:r w:rsidR="00B45FEA">
        <w:rPr>
          <w:rFonts w:ascii="Calibri" w:hAnsi="Calibri"/>
        </w:rPr>
        <w:t xml:space="preserve">and the formula: </w:t>
      </w:r>
      <w:proofErr w:type="spellStart"/>
      <w:r w:rsidR="008804A4">
        <w:rPr>
          <w:rFonts w:ascii="Calibri" w:hAnsi="Calibri"/>
        </w:rPr>
        <w:t>b</w:t>
      </w:r>
      <w:r w:rsidR="00B45FEA" w:rsidRPr="00522617">
        <w:rPr>
          <w:rFonts w:ascii="Calibri" w:hAnsi="Calibri"/>
          <w:vertAlign w:val="subscript"/>
        </w:rPr>
        <w:t>u</w:t>
      </w:r>
      <w:proofErr w:type="spellEnd"/>
      <w:r w:rsidR="00B45FEA">
        <w:rPr>
          <w:rFonts w:ascii="Calibri" w:hAnsi="Calibri"/>
        </w:rPr>
        <w:t xml:space="preserve"> = </w:t>
      </w:r>
      <w:r w:rsidR="008804A4">
        <w:rPr>
          <w:rFonts w:ascii="Calibri" w:hAnsi="Calibri"/>
        </w:rPr>
        <w:t>b</w:t>
      </w:r>
      <w:r w:rsidR="00B45FEA" w:rsidRPr="00522617">
        <w:rPr>
          <w:rFonts w:ascii="Calibri" w:hAnsi="Calibri"/>
          <w:vertAlign w:val="subscript"/>
        </w:rPr>
        <w:t>e</w:t>
      </w:r>
      <w:r w:rsidR="00B45FEA">
        <w:rPr>
          <w:rFonts w:ascii="Calibri" w:hAnsi="Calibri"/>
        </w:rPr>
        <w:t xml:space="preserve"> / (1 + D/E).  </w:t>
      </w:r>
      <w:r w:rsidR="00522617">
        <w:rPr>
          <w:rFonts w:ascii="Calibri" w:hAnsi="Calibri"/>
        </w:rPr>
        <w:t xml:space="preserve">To determine Henkel’s corporate beta, relever the </w:t>
      </w:r>
      <w:r w:rsidR="008804A4">
        <w:rPr>
          <w:rFonts w:ascii="Calibri" w:hAnsi="Calibri"/>
        </w:rPr>
        <w:t xml:space="preserve">average industry beta using Henkel’s year-end debt-to-equity ratio.  Repeat this process for each </w:t>
      </w:r>
      <w:r w:rsidR="00365646">
        <w:rPr>
          <w:rFonts w:ascii="Calibri" w:hAnsi="Calibri"/>
        </w:rPr>
        <w:t xml:space="preserve">of Henkel’s divisions.  </w:t>
      </w:r>
    </w:p>
    <w:p w:rsidR="00365646" w:rsidRPr="00695042" w:rsidRDefault="00365646" w:rsidP="00695042">
      <w:pPr>
        <w:pStyle w:val="ListParagraph"/>
        <w:numPr>
          <w:ilvl w:val="0"/>
          <w:numId w:val="1"/>
        </w:numPr>
        <w:spacing w:after="120" w:line="360" w:lineRule="auto"/>
        <w:contextualSpacing w:val="0"/>
        <w:rPr>
          <w:rFonts w:ascii="Calibri" w:hAnsi="Calibri"/>
        </w:rPr>
      </w:pPr>
      <w:r>
        <w:rPr>
          <w:rFonts w:ascii="Calibri" w:hAnsi="Calibri"/>
        </w:rPr>
        <w:t>Assume the market risk premium equals 5%.</w:t>
      </w:r>
    </w:p>
    <w:p w:rsidR="000D1B3A" w:rsidRDefault="001D541E" w:rsidP="0092647A">
      <w:pPr>
        <w:spacing w:after="120" w:line="360" w:lineRule="auto"/>
      </w:pPr>
      <w:r w:rsidRPr="001D541E">
        <w:lastRenderedPageBreak/>
        <w:t xml:space="preserve">Henkel does not carry debt beyond five years.  Therefore, we </w:t>
      </w:r>
      <w:r>
        <w:t xml:space="preserve">determine </w:t>
      </w:r>
      <w:r w:rsidRPr="001D541E">
        <w:rPr>
          <w:b/>
        </w:rPr>
        <w:t>the</w:t>
      </w:r>
      <w:r w:rsidR="000F27D1">
        <w:rPr>
          <w:b/>
        </w:rPr>
        <w:t xml:space="preserve"> after-tax </w:t>
      </w:r>
      <w:r w:rsidRPr="001D541E">
        <w:rPr>
          <w:b/>
        </w:rPr>
        <w:t>cost of debt</w:t>
      </w:r>
      <w:r>
        <w:t xml:space="preserve"> using a portfolio of similarly rated bonds.  To determine the cost of debt:</w:t>
      </w:r>
    </w:p>
    <w:p w:rsidR="001D541E" w:rsidRDefault="005851CE" w:rsidP="001D541E">
      <w:pPr>
        <w:pStyle w:val="ListParagraph"/>
        <w:numPr>
          <w:ilvl w:val="0"/>
          <w:numId w:val="2"/>
        </w:numPr>
        <w:spacing w:after="120" w:line="360" w:lineRule="auto"/>
        <w:contextualSpacing w:val="0"/>
      </w:pPr>
      <w:r>
        <w:t>Use the same risk free rate used to</w:t>
      </w:r>
      <w:r w:rsidR="00F15B48">
        <w:t xml:space="preserve"> determine the cost of equity</w:t>
      </w:r>
      <w:r w:rsidR="001D541E">
        <w:t>.</w:t>
      </w:r>
    </w:p>
    <w:p w:rsidR="00A67276" w:rsidRDefault="00F15B48" w:rsidP="00A67276">
      <w:pPr>
        <w:pStyle w:val="ListParagraph"/>
        <w:numPr>
          <w:ilvl w:val="0"/>
          <w:numId w:val="2"/>
        </w:numPr>
        <w:spacing w:after="120" w:line="360" w:lineRule="auto"/>
        <w:contextualSpacing w:val="0"/>
      </w:pPr>
      <w:r>
        <w:t>Add a default premium based on the company’s debt rating by Standard &amp; Poors. Yields</w:t>
      </w:r>
      <w:r w:rsidR="00EF0222">
        <w:t xml:space="preserve"> by credit rating</w:t>
      </w:r>
      <w:r>
        <w:t xml:space="preserve"> can be found on the “Yields” worksheet of the “Select Market Data” spreadsheet.  </w:t>
      </w:r>
      <w:r w:rsidR="00A67276">
        <w:t xml:space="preserve">Henkel reports its debt rating on </w:t>
      </w:r>
      <w:r w:rsidR="005851CE">
        <w:t>its</w:t>
      </w:r>
      <w:r w:rsidR="00A67276">
        <w:t xml:space="preserve"> investor relations website:</w:t>
      </w:r>
      <w:r w:rsidR="005851CE">
        <w:t xml:space="preserve"> </w:t>
      </w:r>
      <w:hyperlink r:id="rId7" w:history="1">
        <w:r w:rsidR="005851CE" w:rsidRPr="002068AF">
          <w:rPr>
            <w:rStyle w:val="Hyperlink"/>
          </w:rPr>
          <w:t>http://www.henkel.com/investor-relations/credit-ratings-11952.htm</w:t>
        </w:r>
      </w:hyperlink>
      <w:r w:rsidR="005851CE">
        <w:t xml:space="preserve">.  </w:t>
      </w:r>
      <w:r w:rsidR="00EF0222">
        <w:t>If the company’s rating is between reported portfolios, interpolate between the nearest ratings.</w:t>
      </w:r>
    </w:p>
    <w:p w:rsidR="001D541E" w:rsidRDefault="00EF0222" w:rsidP="001D541E">
      <w:pPr>
        <w:pStyle w:val="ListParagraph"/>
        <w:numPr>
          <w:ilvl w:val="0"/>
          <w:numId w:val="2"/>
        </w:numPr>
        <w:spacing w:after="120" w:line="360" w:lineRule="auto"/>
        <w:contextualSpacing w:val="0"/>
      </w:pPr>
      <w:r>
        <w:t xml:space="preserve">To determine </w:t>
      </w:r>
      <w:r w:rsidR="004362EE">
        <w:t>Henkel’s</w:t>
      </w:r>
      <w:r>
        <w:t xml:space="preserve"> marginal tax rate, </w:t>
      </w:r>
      <w:r w:rsidR="004362EE">
        <w:t>use the tax reconciliation table in the annual report.  Set the marginal tax rate equal to the “Tax rate on income.”</w:t>
      </w:r>
    </w:p>
    <w:p w:rsidR="004362EE" w:rsidRDefault="004362EE" w:rsidP="004362EE">
      <w:pPr>
        <w:spacing w:after="120" w:line="360" w:lineRule="auto"/>
      </w:pPr>
      <w:r>
        <w:t xml:space="preserve">To complete the cost of capital, </w:t>
      </w:r>
      <w:r w:rsidR="00D3220D">
        <w:t>weight</w:t>
      </w:r>
      <w:r>
        <w:t xml:space="preserve"> the</w:t>
      </w:r>
      <w:r w:rsidR="00D3220D">
        <w:t xml:space="preserve"> after-tax cost of debt and cost of equity using the </w:t>
      </w:r>
      <w:r>
        <w:t xml:space="preserve">company’s </w:t>
      </w:r>
      <w:r w:rsidR="004F0349">
        <w:t>year-end</w:t>
      </w:r>
      <w:r>
        <w:t xml:space="preserve"> capital structure</w:t>
      </w:r>
      <w:r w:rsidR="00580BAA">
        <w:t xml:space="preserve"> (found in the “Select Market Data” spreadsheet).</w:t>
      </w:r>
    </w:p>
    <w:p w:rsidR="001D541E" w:rsidRDefault="001D541E" w:rsidP="0092647A">
      <w:pPr>
        <w:spacing w:after="120" w:line="360" w:lineRule="auto"/>
      </w:pPr>
    </w:p>
    <w:p w:rsidR="004362EE" w:rsidRPr="002C7767" w:rsidRDefault="004362EE" w:rsidP="004362EE">
      <w:pPr>
        <w:spacing w:after="120" w:line="360" w:lineRule="auto"/>
        <w:rPr>
          <w:b/>
        </w:rPr>
      </w:pPr>
      <w:r>
        <w:rPr>
          <w:b/>
        </w:rPr>
        <w:t>Helpful page</w:t>
      </w:r>
      <w:r w:rsidRPr="00B763CF">
        <w:rPr>
          <w:b/>
        </w:rPr>
        <w:t xml:space="preserve"> </w:t>
      </w:r>
      <w:r>
        <w:rPr>
          <w:b/>
        </w:rPr>
        <w:t>l</w:t>
      </w:r>
      <w:r w:rsidRPr="00B763CF">
        <w:rPr>
          <w:b/>
        </w:rPr>
        <w:t>ocations</w:t>
      </w:r>
      <w:r>
        <w:rPr>
          <w:b/>
        </w:rPr>
        <w:t xml:space="preserve">, </w:t>
      </w:r>
      <w:r w:rsidRPr="002C7767">
        <w:rPr>
          <w:b/>
        </w:rPr>
        <w:t>Henkel 2009 Annual Report</w:t>
      </w:r>
    </w:p>
    <w:p w:rsidR="004362EE" w:rsidRDefault="004362EE" w:rsidP="00864A1B">
      <w:pPr>
        <w:pStyle w:val="ListParagraph"/>
        <w:numPr>
          <w:ilvl w:val="0"/>
          <w:numId w:val="3"/>
        </w:numPr>
        <w:spacing w:after="120" w:line="360" w:lineRule="auto"/>
      </w:pPr>
      <w:r>
        <w:t xml:space="preserve">Taxes on income (the tax reconciliation table) can be found in note 9 </w:t>
      </w:r>
      <w:r w:rsidR="004F0349">
        <w:t xml:space="preserve">starting </w:t>
      </w:r>
      <w:r>
        <w:t xml:space="preserve">on page </w:t>
      </w:r>
      <w:r w:rsidR="004F0349">
        <w:t>92.</w:t>
      </w:r>
    </w:p>
    <w:p w:rsidR="00864A1B" w:rsidRDefault="00864A1B" w:rsidP="00864A1B">
      <w:pPr>
        <w:spacing w:after="120" w:line="360" w:lineRule="auto"/>
      </w:pPr>
    </w:p>
    <w:p w:rsidR="00864A1B" w:rsidRPr="00F14280" w:rsidRDefault="00864A1B" w:rsidP="00864A1B">
      <w:pPr>
        <w:spacing w:after="120" w:line="360" w:lineRule="auto"/>
        <w:rPr>
          <w:b/>
        </w:rPr>
      </w:pPr>
      <w:r w:rsidRPr="00F14280">
        <w:rPr>
          <w:b/>
        </w:rPr>
        <w:t>Required Spreadsheets</w:t>
      </w:r>
    </w:p>
    <w:p w:rsidR="00864A1B" w:rsidRPr="00F233A6" w:rsidRDefault="00864A1B" w:rsidP="00864A1B">
      <w:pPr>
        <w:pStyle w:val="ListParagraph"/>
        <w:numPr>
          <w:ilvl w:val="0"/>
          <w:numId w:val="4"/>
        </w:numPr>
        <w:spacing w:after="120" w:line="360" w:lineRule="auto"/>
      </w:pPr>
      <w:r>
        <w:t>Select Market Data</w:t>
      </w:r>
    </w:p>
    <w:p w:rsidR="00FE70DE" w:rsidRPr="00F233A6" w:rsidRDefault="00FE70DE" w:rsidP="004362EE">
      <w:pPr>
        <w:spacing w:after="120" w:line="360" w:lineRule="auto"/>
      </w:pPr>
    </w:p>
    <w:sectPr w:rsidR="00FE70DE" w:rsidRPr="00F233A6" w:rsidSect="0052036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FB" w:rsidRDefault="004249FB" w:rsidP="001D541E">
      <w:pPr>
        <w:spacing w:after="0" w:line="240" w:lineRule="auto"/>
      </w:pPr>
      <w:r>
        <w:separator/>
      </w:r>
    </w:p>
  </w:endnote>
  <w:endnote w:type="continuationSeparator" w:id="0">
    <w:p w:rsidR="004249FB" w:rsidRDefault="004249FB" w:rsidP="001D5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3400"/>
      <w:docPartObj>
        <w:docPartGallery w:val="Page Numbers (Bottom of Page)"/>
        <w:docPartUnique/>
      </w:docPartObj>
    </w:sdtPr>
    <w:sdtContent>
      <w:p w:rsidR="001D541E" w:rsidRDefault="008468EB">
        <w:pPr>
          <w:pStyle w:val="Footer"/>
          <w:jc w:val="right"/>
        </w:pPr>
        <w:fldSimple w:instr=" PAGE   \* MERGEFORMAT ">
          <w:r w:rsidR="00864A1B">
            <w:rPr>
              <w:noProof/>
            </w:rPr>
            <w:t>2</w:t>
          </w:r>
        </w:fldSimple>
      </w:p>
    </w:sdtContent>
  </w:sdt>
  <w:p w:rsidR="001D541E" w:rsidRDefault="001D5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FB" w:rsidRDefault="004249FB" w:rsidP="001D541E">
      <w:pPr>
        <w:spacing w:after="0" w:line="240" w:lineRule="auto"/>
      </w:pPr>
      <w:r>
        <w:separator/>
      </w:r>
    </w:p>
  </w:footnote>
  <w:footnote w:type="continuationSeparator" w:id="0">
    <w:p w:rsidR="004249FB" w:rsidRDefault="004249FB" w:rsidP="001D5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3B0"/>
    <w:multiLevelType w:val="hybridMultilevel"/>
    <w:tmpl w:val="E89096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C1FD2"/>
    <w:multiLevelType w:val="hybridMultilevel"/>
    <w:tmpl w:val="E0E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205F0"/>
    <w:multiLevelType w:val="hybridMultilevel"/>
    <w:tmpl w:val="A6EC3FE0"/>
    <w:lvl w:ilvl="0" w:tplc="DB8C1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1C041D"/>
    <w:multiLevelType w:val="hybridMultilevel"/>
    <w:tmpl w:val="AE1E2136"/>
    <w:lvl w:ilvl="0" w:tplc="29C85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F233A6"/>
    <w:rsid w:val="00051A3A"/>
    <w:rsid w:val="000C5DE4"/>
    <w:rsid w:val="000D1B3A"/>
    <w:rsid w:val="000F27D1"/>
    <w:rsid w:val="001D541E"/>
    <w:rsid w:val="002B7AEA"/>
    <w:rsid w:val="00330FBB"/>
    <w:rsid w:val="00365646"/>
    <w:rsid w:val="004249FB"/>
    <w:rsid w:val="004362EE"/>
    <w:rsid w:val="004674F6"/>
    <w:rsid w:val="004F0349"/>
    <w:rsid w:val="00520367"/>
    <w:rsid w:val="00522617"/>
    <w:rsid w:val="00580BAA"/>
    <w:rsid w:val="005851CE"/>
    <w:rsid w:val="0068382F"/>
    <w:rsid w:val="00695042"/>
    <w:rsid w:val="00734A06"/>
    <w:rsid w:val="007E3532"/>
    <w:rsid w:val="008468EB"/>
    <w:rsid w:val="00864A1B"/>
    <w:rsid w:val="008804A4"/>
    <w:rsid w:val="00881ECE"/>
    <w:rsid w:val="008A6A8F"/>
    <w:rsid w:val="0092647A"/>
    <w:rsid w:val="009637B7"/>
    <w:rsid w:val="009C4C8E"/>
    <w:rsid w:val="009F42ED"/>
    <w:rsid w:val="00A43F39"/>
    <w:rsid w:val="00A67276"/>
    <w:rsid w:val="00A77C3C"/>
    <w:rsid w:val="00A871F5"/>
    <w:rsid w:val="00B139F6"/>
    <w:rsid w:val="00B45FEA"/>
    <w:rsid w:val="00BB5528"/>
    <w:rsid w:val="00D3220D"/>
    <w:rsid w:val="00EE0A71"/>
    <w:rsid w:val="00EF0222"/>
    <w:rsid w:val="00F15B48"/>
    <w:rsid w:val="00F233A6"/>
    <w:rsid w:val="00FB7D35"/>
    <w:rsid w:val="00FE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Continued">
    <w:name w:val="ParaContinued"/>
    <w:basedOn w:val="Normal"/>
    <w:next w:val="Normal"/>
    <w:rsid w:val="0092647A"/>
    <w:pPr>
      <w:spacing w:after="120" w:line="240" w:lineRule="auto"/>
      <w:ind w:left="720"/>
    </w:pPr>
    <w:rPr>
      <w:rFonts w:ascii="Times New Roman" w:eastAsia="Times New Roman" w:hAnsi="Times New Roman" w:cs="Times New Roman"/>
      <w:snapToGrid w:val="0"/>
      <w:sz w:val="26"/>
      <w:szCs w:val="20"/>
    </w:rPr>
  </w:style>
  <w:style w:type="paragraph" w:customStyle="1" w:styleId="Para">
    <w:name w:val="Para"/>
    <w:rsid w:val="0092647A"/>
    <w:pPr>
      <w:spacing w:after="120" w:line="240" w:lineRule="auto"/>
      <w:ind w:left="720" w:firstLine="720"/>
    </w:pPr>
    <w:rPr>
      <w:rFonts w:ascii="Times New Roman" w:eastAsia="Times New Roman" w:hAnsi="Times New Roman" w:cs="Times New Roman"/>
      <w:snapToGrid w:val="0"/>
      <w:sz w:val="26"/>
      <w:szCs w:val="20"/>
    </w:rPr>
  </w:style>
  <w:style w:type="paragraph" w:styleId="ListParagraph">
    <w:name w:val="List Paragraph"/>
    <w:basedOn w:val="Normal"/>
    <w:uiPriority w:val="34"/>
    <w:qFormat/>
    <w:rsid w:val="00695042"/>
    <w:pPr>
      <w:ind w:left="720"/>
      <w:contextualSpacing/>
    </w:pPr>
  </w:style>
  <w:style w:type="paragraph" w:styleId="Header">
    <w:name w:val="header"/>
    <w:basedOn w:val="Normal"/>
    <w:link w:val="HeaderChar"/>
    <w:uiPriority w:val="99"/>
    <w:semiHidden/>
    <w:unhideWhenUsed/>
    <w:rsid w:val="001D54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41E"/>
  </w:style>
  <w:style w:type="paragraph" w:styleId="Footer">
    <w:name w:val="footer"/>
    <w:basedOn w:val="Normal"/>
    <w:link w:val="FooterChar"/>
    <w:uiPriority w:val="99"/>
    <w:unhideWhenUsed/>
    <w:rsid w:val="001D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1E"/>
  </w:style>
  <w:style w:type="character" w:styleId="Hyperlink">
    <w:name w:val="Hyperlink"/>
    <w:basedOn w:val="DefaultParagraphFont"/>
    <w:uiPriority w:val="99"/>
    <w:unhideWhenUsed/>
    <w:rsid w:val="00A67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nkel.com/investor-relations/credit-ratings-1195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David Wessels</dc:creator>
  <cp:lastModifiedBy>Professor David Wessels</cp:lastModifiedBy>
  <cp:revision>31</cp:revision>
  <dcterms:created xsi:type="dcterms:W3CDTF">2010-11-14T22:09:00Z</dcterms:created>
  <dcterms:modified xsi:type="dcterms:W3CDTF">2010-11-21T23:17:00Z</dcterms:modified>
</cp:coreProperties>
</file>