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DB" w:rsidRDefault="00AC0ADB" w:rsidP="001E7A1F">
      <w:pPr>
        <w:spacing w:after="120" w:line="300" w:lineRule="auto"/>
        <w:jc w:val="center"/>
        <w:rPr>
          <w:b/>
        </w:rPr>
      </w:pPr>
      <w:r>
        <w:rPr>
          <w:b/>
        </w:rPr>
        <w:t>Valuation: Measuring &amp; Managing the Value of Companies</w:t>
      </w:r>
    </w:p>
    <w:p w:rsidR="002A25CD" w:rsidRPr="002A25CD" w:rsidRDefault="002A25CD" w:rsidP="001E7A1F">
      <w:pPr>
        <w:spacing w:after="120" w:line="300" w:lineRule="auto"/>
        <w:jc w:val="center"/>
      </w:pPr>
      <w:r w:rsidRPr="002A25CD">
        <w:t>Fall</w:t>
      </w:r>
      <w:r w:rsidR="005A4696">
        <w:t>/Spring</w:t>
      </w:r>
      <w:r w:rsidRPr="002A25CD">
        <w:t xml:space="preserve"> 20</w:t>
      </w:r>
      <w:r w:rsidR="005A4696">
        <w:t>1X</w:t>
      </w:r>
    </w:p>
    <w:p w:rsidR="001E7A1F" w:rsidRDefault="001E7A1F" w:rsidP="001E7A1F">
      <w:pPr>
        <w:spacing w:after="120" w:line="300" w:lineRule="auto"/>
      </w:pPr>
    </w:p>
    <w:p w:rsidR="00067BD9" w:rsidRDefault="004E3625" w:rsidP="001E7A1F">
      <w:pPr>
        <w:spacing w:after="120" w:line="300" w:lineRule="auto"/>
      </w:pPr>
      <w:r>
        <w:t xml:space="preserve">This course </w:t>
      </w:r>
      <w:r w:rsidR="00067BD9">
        <w:t>will focus on the financial analysis and valuation of companies.  The course will be segmented into four major sections.</w:t>
      </w:r>
    </w:p>
    <w:p w:rsidR="00067BD9" w:rsidRDefault="00067BD9" w:rsidP="001E7A1F">
      <w:pPr>
        <w:pStyle w:val="ListParagraph"/>
        <w:numPr>
          <w:ilvl w:val="0"/>
          <w:numId w:val="1"/>
        </w:numPr>
        <w:spacing w:after="120" w:line="300" w:lineRule="auto"/>
        <w:contextualSpacing w:val="0"/>
      </w:pPr>
      <w:r>
        <w:t>During the first weeks of class, we discuss the drivers of corporate value, specifically return on investment and organic revenue growth.</w:t>
      </w:r>
      <w:r w:rsidR="006B01D0">
        <w:t xml:space="preserve"> We </w:t>
      </w:r>
      <w:r>
        <w:t>next examine how to build an ROIC-based valuation model, and how this differs from and complements the traditional discounted cash flow model.</w:t>
      </w:r>
    </w:p>
    <w:p w:rsidR="00067BD9" w:rsidRDefault="006D42F9" w:rsidP="001E7A1F">
      <w:pPr>
        <w:pStyle w:val="ListParagraph"/>
        <w:numPr>
          <w:ilvl w:val="0"/>
          <w:numId w:val="1"/>
        </w:numPr>
        <w:spacing w:after="120" w:line="300" w:lineRule="auto"/>
        <w:contextualSpacing w:val="0"/>
      </w:pPr>
      <w:r>
        <w:t xml:space="preserve">The second section </w:t>
      </w:r>
      <w:r w:rsidR="00067BD9">
        <w:t>cover</w:t>
      </w:r>
      <w:r>
        <w:t>s</w:t>
      </w:r>
      <w:r w:rsidR="00067BD9">
        <w:t xml:space="preserve"> financial analysis using </w:t>
      </w:r>
      <w:r>
        <w:t xml:space="preserve">data from </w:t>
      </w:r>
      <w:r w:rsidR="00067BD9">
        <w:t>the annual report.  We start wit</w:t>
      </w:r>
      <w:r>
        <w:t>h the traditional competitive benchmarking</w:t>
      </w:r>
      <w:r w:rsidR="00067BD9">
        <w:t xml:space="preserve"> and next move to current metrics such as return on invested capital (ROIC) and economic profit.  Our primary goal will be to build a true understanding of operating performance across business units and for the entire company.</w:t>
      </w:r>
    </w:p>
    <w:p w:rsidR="00067BD9" w:rsidRDefault="0074754A" w:rsidP="001E7A1F">
      <w:pPr>
        <w:pStyle w:val="ListParagraph"/>
        <w:numPr>
          <w:ilvl w:val="0"/>
          <w:numId w:val="1"/>
        </w:numPr>
        <w:spacing w:after="120" w:line="300" w:lineRule="auto"/>
        <w:contextualSpacing w:val="0"/>
      </w:pPr>
      <w:r>
        <w:t>In the third</w:t>
      </w:r>
      <w:r w:rsidR="00067BD9">
        <w:t xml:space="preserve"> section, we build an integrated valuation model using discounted cash flow.  The section starts with the fundamentals of forecasting, how to determine the appropriate forecast period, and issues related to continuing value.  We </w:t>
      </w:r>
      <w:r>
        <w:t xml:space="preserve">derive the weighted average cost of capital, focusing on </w:t>
      </w:r>
      <w:r w:rsidR="00135DA4">
        <w:t>how to estimate the inputs</w:t>
      </w:r>
      <w:r>
        <w:t>.</w:t>
      </w:r>
    </w:p>
    <w:p w:rsidR="00135DA4" w:rsidRDefault="00135DA4" w:rsidP="001E7A1F">
      <w:pPr>
        <w:pStyle w:val="ListParagraph"/>
        <w:numPr>
          <w:ilvl w:val="0"/>
          <w:numId w:val="1"/>
        </w:numPr>
        <w:spacing w:after="120" w:line="300" w:lineRule="auto"/>
        <w:contextualSpacing w:val="0"/>
      </w:pPr>
      <w:r>
        <w:t xml:space="preserve">In the final section, we discuss </w:t>
      </w:r>
      <w:r w:rsidR="00382364">
        <w:t>alternatives to DCF valuation</w:t>
      </w:r>
      <w:r>
        <w:t>, comparables analysis</w:t>
      </w:r>
      <w:r w:rsidR="00382364">
        <w:t xml:space="preserve"> and options</w:t>
      </w:r>
      <w:r>
        <w:t xml:space="preserve">.  </w:t>
      </w:r>
      <w:r w:rsidR="00E66397">
        <w:t>We use multiples analysis to triangulate our DCF valuation</w:t>
      </w:r>
      <w:r w:rsidR="00382364">
        <w:t xml:space="preserve"> and options analysis</w:t>
      </w:r>
      <w:r w:rsidR="006D42F9">
        <w:t xml:space="preserve"> to handle uncertainty</w:t>
      </w:r>
      <w:r w:rsidR="00E66397">
        <w:t>.</w:t>
      </w:r>
    </w:p>
    <w:p w:rsidR="00067BD9" w:rsidRDefault="00067BD9" w:rsidP="001E7A1F">
      <w:pPr>
        <w:spacing w:after="120" w:line="300" w:lineRule="auto"/>
      </w:pPr>
    </w:p>
    <w:p w:rsidR="00E26D8E" w:rsidRPr="00201A80" w:rsidRDefault="00E26D8E" w:rsidP="001E7A1F">
      <w:pPr>
        <w:spacing w:after="120" w:line="300" w:lineRule="auto"/>
        <w:rPr>
          <w:b/>
        </w:rPr>
      </w:pPr>
      <w:r w:rsidRPr="00201A80">
        <w:rPr>
          <w:b/>
        </w:rPr>
        <w:t>Reading</w:t>
      </w:r>
    </w:p>
    <w:p w:rsidR="003F25A9" w:rsidRPr="003F25A9" w:rsidRDefault="003F25A9" w:rsidP="001E7A1F">
      <w:pPr>
        <w:spacing w:after="120" w:line="300" w:lineRule="auto"/>
      </w:pPr>
      <w:r w:rsidRPr="003F25A9">
        <w:t>Th</w:t>
      </w:r>
      <w:r>
        <w:t>e course will rely on a textbook:</w:t>
      </w:r>
    </w:p>
    <w:p w:rsidR="00E26D8E" w:rsidRPr="003F25A9" w:rsidRDefault="003F25A9" w:rsidP="001E7A1F">
      <w:pPr>
        <w:spacing w:after="120" w:line="300" w:lineRule="auto"/>
      </w:pPr>
      <w:r>
        <w:t>Valuation (5</w:t>
      </w:r>
      <w:r w:rsidRPr="003F25A9">
        <w:rPr>
          <w:vertAlign w:val="superscript"/>
        </w:rPr>
        <w:t>th</w:t>
      </w:r>
      <w:r w:rsidRPr="003F25A9">
        <w:t xml:space="preserve"> Ed) by Kol</w:t>
      </w:r>
      <w:r>
        <w:t>ler, Goedhart, and Wessels, 2010</w:t>
      </w:r>
      <w:r w:rsidRPr="003F25A9">
        <w:t>, John Wiley &amp; Sons, Inc, NY.</w:t>
      </w:r>
    </w:p>
    <w:p w:rsidR="00BF5208" w:rsidRDefault="00BF5208">
      <w:pPr>
        <w:rPr>
          <w:b/>
        </w:rPr>
      </w:pPr>
    </w:p>
    <w:p w:rsidR="001E7A1F" w:rsidRDefault="001E7A1F">
      <w:pPr>
        <w:rPr>
          <w:b/>
        </w:rPr>
      </w:pPr>
      <w:r>
        <w:rPr>
          <w:b/>
        </w:rPr>
        <w:t>Exams</w:t>
      </w:r>
    </w:p>
    <w:p w:rsidR="001E7A1F" w:rsidRDefault="001E7A1F">
      <w:pPr>
        <w:rPr>
          <w:b/>
        </w:rPr>
      </w:pPr>
      <w:r>
        <w:t>To be determined by instructor.</w:t>
      </w:r>
      <w:r>
        <w:rPr>
          <w:b/>
        </w:rPr>
        <w:br w:type="page"/>
      </w:r>
    </w:p>
    <w:p w:rsidR="00E26D8E" w:rsidRDefault="00201A80">
      <w:pPr>
        <w:rPr>
          <w:b/>
        </w:rPr>
      </w:pPr>
      <w:r>
        <w:rPr>
          <w:b/>
        </w:rPr>
        <w:lastRenderedPageBreak/>
        <w:t>Syllabus</w:t>
      </w:r>
    </w:p>
    <w:tbl>
      <w:tblPr>
        <w:tblStyle w:val="TableGrid"/>
        <w:tblW w:w="0" w:type="auto"/>
        <w:tblLayout w:type="fixed"/>
        <w:tblLook w:val="04A0"/>
      </w:tblPr>
      <w:tblGrid>
        <w:gridCol w:w="1548"/>
        <w:gridCol w:w="810"/>
        <w:gridCol w:w="3383"/>
        <w:gridCol w:w="667"/>
        <w:gridCol w:w="1440"/>
        <w:gridCol w:w="1728"/>
      </w:tblGrid>
      <w:tr w:rsidR="001E7A1F" w:rsidTr="001E7A1F">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rPr>
                <w:b/>
              </w:rPr>
            </w:pPr>
            <w:r>
              <w:rPr>
                <w:b/>
              </w:rPr>
              <w:t>Section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rPr>
                <w:b/>
              </w:rPr>
            </w:pPr>
            <w:r>
              <w:rPr>
                <w:b/>
              </w:rPr>
              <w:t>Week</w:t>
            </w:r>
          </w:p>
        </w:tc>
        <w:tc>
          <w:tcPr>
            <w:tcW w:w="3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rPr>
                <w:b/>
              </w:rPr>
            </w:pPr>
            <w:r>
              <w:rPr>
                <w:b/>
              </w:rPr>
              <w:t>Topic</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rPr>
                <w:b/>
              </w:rPr>
            </w:pPr>
            <w:r>
              <w:rPr>
                <w:b/>
              </w:rPr>
              <w:t>Note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rPr>
                <w:b/>
              </w:rPr>
            </w:pPr>
            <w:r>
              <w:rPr>
                <w:b/>
              </w:rPr>
              <w:t>Reading</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rPr>
                <w:b/>
              </w:rPr>
            </w:pPr>
            <w:r>
              <w:rPr>
                <w:b/>
              </w:rPr>
              <w:t>Case</w:t>
            </w:r>
          </w:p>
        </w:tc>
      </w:tr>
      <w:tr w:rsidR="001E7A1F" w:rsidTr="001E7A1F">
        <w:tc>
          <w:tcPr>
            <w:tcW w:w="15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pPr>
            <w:r>
              <w:t>Frameworks for Valuation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1</w:t>
            </w:r>
          </w:p>
        </w:tc>
        <w:tc>
          <w:tcPr>
            <w:tcW w:w="3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pPr>
            <w:r w:rsidRPr="001E7A1F">
              <w:t>Fundamentals of Measuring and Managing Value</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Ch 2</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A1F" w:rsidRDefault="001E7A1F" w:rsidP="001E7A1F">
            <w:pPr>
              <w:spacing w:after="60"/>
            </w:pP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single" w:sz="4" w:space="0" w:color="000000" w:themeColor="text1"/>
              <w:left w:val="single" w:sz="4" w:space="0" w:color="000000" w:themeColor="text1"/>
              <w:bottom w:val="nil"/>
              <w:right w:val="single" w:sz="4" w:space="0" w:color="000000" w:themeColor="text1"/>
            </w:tcBorders>
            <w:hideMark/>
          </w:tcPr>
          <w:p w:rsidR="001E7A1F" w:rsidRDefault="001E7A1F" w:rsidP="001E7A1F">
            <w:pPr>
              <w:spacing w:after="60"/>
              <w:jc w:val="center"/>
            </w:pPr>
            <w:r>
              <w:t>2</w:t>
            </w:r>
          </w:p>
        </w:tc>
        <w:tc>
          <w:tcPr>
            <w:tcW w:w="3383" w:type="dxa"/>
            <w:tcBorders>
              <w:top w:val="single" w:sz="4" w:space="0" w:color="000000" w:themeColor="text1"/>
              <w:left w:val="single" w:sz="4" w:space="0" w:color="000000" w:themeColor="text1"/>
              <w:bottom w:val="nil"/>
              <w:right w:val="single" w:sz="4" w:space="0" w:color="000000" w:themeColor="text1"/>
            </w:tcBorders>
            <w:hideMark/>
          </w:tcPr>
          <w:p w:rsidR="001E7A1F" w:rsidRDefault="001E7A1F" w:rsidP="001E7A1F">
            <w:pPr>
              <w:spacing w:after="60"/>
            </w:pPr>
            <w:r>
              <w:t>Analyzing Key Value Drivers</w:t>
            </w:r>
          </w:p>
        </w:tc>
        <w:tc>
          <w:tcPr>
            <w:tcW w:w="667" w:type="dxa"/>
            <w:tcBorders>
              <w:top w:val="single" w:sz="4" w:space="0" w:color="000000" w:themeColor="text1"/>
              <w:left w:val="single" w:sz="4" w:space="0" w:color="000000" w:themeColor="text1"/>
              <w:bottom w:val="nil"/>
              <w:right w:val="single" w:sz="4" w:space="0" w:color="000000" w:themeColor="text1"/>
            </w:tcBorders>
          </w:tcPr>
          <w:p w:rsidR="001E7A1F" w:rsidRDefault="001E7A1F" w:rsidP="001E7A1F">
            <w:pPr>
              <w:spacing w:after="60"/>
              <w:jc w:val="center"/>
            </w:pPr>
          </w:p>
        </w:tc>
        <w:tc>
          <w:tcPr>
            <w:tcW w:w="1440" w:type="dxa"/>
            <w:tcBorders>
              <w:top w:val="single" w:sz="4" w:space="0" w:color="000000" w:themeColor="text1"/>
              <w:left w:val="single" w:sz="4" w:space="0" w:color="000000" w:themeColor="text1"/>
              <w:bottom w:val="nil"/>
              <w:right w:val="single" w:sz="4" w:space="0" w:color="000000" w:themeColor="text1"/>
            </w:tcBorders>
          </w:tcPr>
          <w:p w:rsidR="001E7A1F" w:rsidRDefault="001E7A1F" w:rsidP="001E7A1F">
            <w:pPr>
              <w:spacing w:after="60"/>
              <w:jc w:val="center"/>
            </w:pPr>
          </w:p>
        </w:tc>
        <w:tc>
          <w:tcPr>
            <w:tcW w:w="1728" w:type="dxa"/>
            <w:tcBorders>
              <w:top w:val="single" w:sz="4" w:space="0" w:color="000000" w:themeColor="text1"/>
              <w:left w:val="single" w:sz="4" w:space="0" w:color="000000" w:themeColor="text1"/>
              <w:bottom w:val="nil"/>
              <w:right w:val="single" w:sz="4" w:space="0" w:color="000000" w:themeColor="text1"/>
            </w:tcBorders>
          </w:tcPr>
          <w:p w:rsidR="001E7A1F" w:rsidRDefault="001E7A1F" w:rsidP="001E7A1F">
            <w:pPr>
              <w:spacing w:after="60"/>
            </w:pP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nil"/>
              <w:left w:val="single" w:sz="4" w:space="0" w:color="000000" w:themeColor="text1"/>
              <w:bottom w:val="nil"/>
              <w:right w:val="single" w:sz="4" w:space="0" w:color="000000" w:themeColor="text1"/>
            </w:tcBorders>
          </w:tcPr>
          <w:p w:rsidR="001E7A1F" w:rsidRDefault="001E7A1F" w:rsidP="001E7A1F">
            <w:pPr>
              <w:spacing w:after="60"/>
              <w:jc w:val="center"/>
            </w:pPr>
          </w:p>
        </w:tc>
        <w:tc>
          <w:tcPr>
            <w:tcW w:w="3383" w:type="dxa"/>
            <w:tcBorders>
              <w:top w:val="nil"/>
              <w:left w:val="single" w:sz="4" w:space="0" w:color="000000" w:themeColor="text1"/>
              <w:bottom w:val="nil"/>
              <w:right w:val="single" w:sz="4" w:space="0" w:color="000000" w:themeColor="text1"/>
            </w:tcBorders>
            <w:hideMark/>
          </w:tcPr>
          <w:p w:rsidR="001E7A1F" w:rsidRDefault="001E7A1F" w:rsidP="001E7A1F">
            <w:pPr>
              <w:spacing w:after="60"/>
            </w:pPr>
            <w:r>
              <w:t xml:space="preserve">         Return on Invested Capital</w:t>
            </w:r>
          </w:p>
        </w:tc>
        <w:tc>
          <w:tcPr>
            <w:tcW w:w="667" w:type="dxa"/>
            <w:tcBorders>
              <w:top w:val="nil"/>
              <w:left w:val="single" w:sz="4" w:space="0" w:color="000000" w:themeColor="text1"/>
              <w:bottom w:val="nil"/>
              <w:right w:val="single" w:sz="4" w:space="0" w:color="000000" w:themeColor="text1"/>
            </w:tcBorders>
            <w:hideMark/>
          </w:tcPr>
          <w:p w:rsidR="001E7A1F" w:rsidRDefault="001E7A1F" w:rsidP="001E7A1F">
            <w:pPr>
              <w:spacing w:after="60"/>
              <w:jc w:val="center"/>
            </w:pPr>
            <w:r>
              <w:t>2</w:t>
            </w:r>
          </w:p>
        </w:tc>
        <w:tc>
          <w:tcPr>
            <w:tcW w:w="1440" w:type="dxa"/>
            <w:tcBorders>
              <w:top w:val="nil"/>
              <w:left w:val="single" w:sz="4" w:space="0" w:color="000000" w:themeColor="text1"/>
              <w:bottom w:val="nil"/>
              <w:right w:val="single" w:sz="4" w:space="0" w:color="000000" w:themeColor="text1"/>
            </w:tcBorders>
            <w:hideMark/>
          </w:tcPr>
          <w:p w:rsidR="001E7A1F" w:rsidRDefault="001E7A1F" w:rsidP="001E7A1F">
            <w:pPr>
              <w:spacing w:after="60"/>
              <w:jc w:val="center"/>
            </w:pPr>
            <w:r>
              <w:t>Ch 4</w:t>
            </w:r>
          </w:p>
        </w:tc>
        <w:tc>
          <w:tcPr>
            <w:tcW w:w="1728" w:type="dxa"/>
            <w:tcBorders>
              <w:top w:val="nil"/>
              <w:left w:val="single" w:sz="4" w:space="0" w:color="000000" w:themeColor="text1"/>
              <w:bottom w:val="nil"/>
              <w:right w:val="single" w:sz="4" w:space="0" w:color="000000" w:themeColor="text1"/>
            </w:tcBorders>
          </w:tcPr>
          <w:p w:rsidR="001E7A1F" w:rsidRDefault="001E7A1F" w:rsidP="001E7A1F">
            <w:pPr>
              <w:spacing w:after="60"/>
            </w:pP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nil"/>
              <w:left w:val="single" w:sz="4" w:space="0" w:color="000000" w:themeColor="text1"/>
              <w:bottom w:val="single" w:sz="4" w:space="0" w:color="000000" w:themeColor="text1"/>
              <w:right w:val="single" w:sz="4" w:space="0" w:color="000000" w:themeColor="text1"/>
            </w:tcBorders>
          </w:tcPr>
          <w:p w:rsidR="001E7A1F" w:rsidRDefault="001E7A1F" w:rsidP="001E7A1F">
            <w:pPr>
              <w:spacing w:after="60"/>
              <w:jc w:val="center"/>
            </w:pPr>
          </w:p>
        </w:tc>
        <w:tc>
          <w:tcPr>
            <w:tcW w:w="3383" w:type="dxa"/>
            <w:tcBorders>
              <w:top w:val="nil"/>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pPr>
            <w:r>
              <w:t xml:space="preserve">         Revenue Growth</w:t>
            </w:r>
          </w:p>
        </w:tc>
        <w:tc>
          <w:tcPr>
            <w:tcW w:w="667" w:type="dxa"/>
            <w:tcBorders>
              <w:top w:val="nil"/>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3</w:t>
            </w:r>
          </w:p>
        </w:tc>
        <w:tc>
          <w:tcPr>
            <w:tcW w:w="1440" w:type="dxa"/>
            <w:tcBorders>
              <w:top w:val="nil"/>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Ch 5</w:t>
            </w:r>
          </w:p>
        </w:tc>
        <w:tc>
          <w:tcPr>
            <w:tcW w:w="1728" w:type="dxa"/>
            <w:tcBorders>
              <w:top w:val="nil"/>
              <w:left w:val="single" w:sz="4" w:space="0" w:color="000000" w:themeColor="text1"/>
              <w:bottom w:val="single" w:sz="4" w:space="0" w:color="000000" w:themeColor="text1"/>
              <w:right w:val="single" w:sz="4" w:space="0" w:color="000000" w:themeColor="text1"/>
            </w:tcBorders>
          </w:tcPr>
          <w:p w:rsidR="001E7A1F" w:rsidRDefault="001E7A1F" w:rsidP="001E7A1F">
            <w:pPr>
              <w:spacing w:after="60"/>
            </w:pP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single" w:sz="4" w:space="0" w:color="000000" w:themeColor="text1"/>
              <w:left w:val="single" w:sz="4" w:space="0" w:color="000000" w:themeColor="text1"/>
              <w:bottom w:val="nil"/>
              <w:right w:val="single" w:sz="4" w:space="0" w:color="000000" w:themeColor="text1"/>
            </w:tcBorders>
            <w:hideMark/>
          </w:tcPr>
          <w:p w:rsidR="001E7A1F" w:rsidRDefault="001E7A1F" w:rsidP="001E7A1F">
            <w:pPr>
              <w:spacing w:after="60"/>
              <w:jc w:val="center"/>
            </w:pPr>
            <w:r>
              <w:t>3</w:t>
            </w:r>
          </w:p>
        </w:tc>
        <w:tc>
          <w:tcPr>
            <w:tcW w:w="3383" w:type="dxa"/>
            <w:tcBorders>
              <w:top w:val="single" w:sz="4" w:space="0" w:color="000000" w:themeColor="text1"/>
              <w:left w:val="single" w:sz="4" w:space="0" w:color="000000" w:themeColor="text1"/>
              <w:bottom w:val="nil"/>
              <w:right w:val="single" w:sz="4" w:space="0" w:color="000000" w:themeColor="text1"/>
            </w:tcBorders>
            <w:hideMark/>
          </w:tcPr>
          <w:p w:rsidR="001E7A1F" w:rsidRDefault="001E7A1F" w:rsidP="001E7A1F">
            <w:pPr>
              <w:spacing w:after="60"/>
            </w:pPr>
            <w:r>
              <w:t xml:space="preserve">Frameworks for Valuation </w:t>
            </w:r>
          </w:p>
        </w:tc>
        <w:tc>
          <w:tcPr>
            <w:tcW w:w="667" w:type="dxa"/>
            <w:tcBorders>
              <w:top w:val="single" w:sz="4" w:space="0" w:color="000000" w:themeColor="text1"/>
              <w:left w:val="single" w:sz="4" w:space="0" w:color="000000" w:themeColor="text1"/>
              <w:bottom w:val="nil"/>
              <w:right w:val="single" w:sz="4" w:space="0" w:color="000000" w:themeColor="text1"/>
            </w:tcBorders>
          </w:tcPr>
          <w:p w:rsidR="001E7A1F" w:rsidRDefault="001E7A1F" w:rsidP="001E7A1F">
            <w:pPr>
              <w:spacing w:after="60"/>
              <w:jc w:val="center"/>
            </w:pPr>
          </w:p>
        </w:tc>
        <w:tc>
          <w:tcPr>
            <w:tcW w:w="1440" w:type="dxa"/>
            <w:tcBorders>
              <w:top w:val="single" w:sz="4" w:space="0" w:color="000000" w:themeColor="text1"/>
              <w:left w:val="single" w:sz="4" w:space="0" w:color="000000" w:themeColor="text1"/>
              <w:bottom w:val="nil"/>
              <w:right w:val="single" w:sz="4" w:space="0" w:color="000000" w:themeColor="text1"/>
            </w:tcBorders>
          </w:tcPr>
          <w:p w:rsidR="001E7A1F" w:rsidRDefault="001E7A1F" w:rsidP="001E7A1F">
            <w:pPr>
              <w:spacing w:after="60"/>
              <w:jc w:val="center"/>
            </w:pPr>
          </w:p>
        </w:tc>
        <w:tc>
          <w:tcPr>
            <w:tcW w:w="1728" w:type="dxa"/>
            <w:vMerge w:val="restart"/>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1E7A1F" w:rsidRDefault="001E7A1F" w:rsidP="001E7A1F">
            <w:pPr>
              <w:spacing w:after="60"/>
            </w:pPr>
            <w:r>
              <w:t>Case Due: Who are Henkel and Reckitt Benckiser?</w:t>
            </w: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nil"/>
              <w:left w:val="single" w:sz="4" w:space="0" w:color="000000" w:themeColor="text1"/>
              <w:bottom w:val="nil"/>
              <w:right w:val="single" w:sz="4" w:space="0" w:color="000000" w:themeColor="text1"/>
            </w:tcBorders>
          </w:tcPr>
          <w:p w:rsidR="001E7A1F" w:rsidRDefault="001E7A1F" w:rsidP="001E7A1F">
            <w:pPr>
              <w:spacing w:after="60"/>
              <w:jc w:val="center"/>
            </w:pPr>
          </w:p>
        </w:tc>
        <w:tc>
          <w:tcPr>
            <w:tcW w:w="3383" w:type="dxa"/>
            <w:tcBorders>
              <w:top w:val="nil"/>
              <w:left w:val="single" w:sz="4" w:space="0" w:color="000000" w:themeColor="text1"/>
              <w:bottom w:val="nil"/>
              <w:right w:val="single" w:sz="4" w:space="0" w:color="000000" w:themeColor="text1"/>
            </w:tcBorders>
            <w:hideMark/>
          </w:tcPr>
          <w:p w:rsidR="001E7A1F" w:rsidRDefault="001E7A1F" w:rsidP="001E7A1F">
            <w:pPr>
              <w:spacing w:after="60"/>
              <w:ind w:left="397"/>
            </w:pPr>
            <w:r w:rsidRPr="001E7A1F">
              <w:t>Enterprise DCF and Economic Profit Models</w:t>
            </w:r>
          </w:p>
        </w:tc>
        <w:tc>
          <w:tcPr>
            <w:tcW w:w="667" w:type="dxa"/>
            <w:tcBorders>
              <w:top w:val="nil"/>
              <w:left w:val="single" w:sz="4" w:space="0" w:color="000000" w:themeColor="text1"/>
              <w:bottom w:val="nil"/>
              <w:right w:val="single" w:sz="4" w:space="0" w:color="000000" w:themeColor="text1"/>
            </w:tcBorders>
            <w:hideMark/>
          </w:tcPr>
          <w:p w:rsidR="001E7A1F" w:rsidRDefault="001E7A1F" w:rsidP="001E7A1F">
            <w:pPr>
              <w:spacing w:after="60"/>
              <w:jc w:val="center"/>
            </w:pPr>
            <w:r>
              <w:t>4</w:t>
            </w:r>
          </w:p>
        </w:tc>
        <w:tc>
          <w:tcPr>
            <w:tcW w:w="1440" w:type="dxa"/>
            <w:tcBorders>
              <w:top w:val="nil"/>
              <w:left w:val="single" w:sz="4" w:space="0" w:color="000000" w:themeColor="text1"/>
              <w:bottom w:val="nil"/>
              <w:right w:val="single" w:sz="4" w:space="0" w:color="000000" w:themeColor="text1"/>
            </w:tcBorders>
            <w:hideMark/>
          </w:tcPr>
          <w:p w:rsidR="001E7A1F" w:rsidRDefault="001E7A1F" w:rsidP="001E7A1F">
            <w:pPr>
              <w:spacing w:after="60"/>
              <w:jc w:val="center"/>
            </w:pPr>
            <w:r>
              <w:t>Ch 6, pages 101-119</w:t>
            </w:r>
          </w:p>
        </w:tc>
        <w:tc>
          <w:tcPr>
            <w:tcW w:w="1728" w:type="dxa"/>
            <w:vMerge/>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hideMark/>
          </w:tcPr>
          <w:p w:rsidR="001E7A1F" w:rsidRDefault="001E7A1F" w:rsidP="001E7A1F">
            <w:pPr>
              <w:spacing w:after="60"/>
            </w:pP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nil"/>
              <w:left w:val="single" w:sz="4" w:space="0" w:color="000000" w:themeColor="text1"/>
              <w:bottom w:val="single" w:sz="18" w:space="0" w:color="000000" w:themeColor="text1"/>
              <w:right w:val="single" w:sz="4" w:space="0" w:color="000000" w:themeColor="text1"/>
            </w:tcBorders>
          </w:tcPr>
          <w:p w:rsidR="001E7A1F" w:rsidRDefault="001E7A1F" w:rsidP="001E7A1F">
            <w:pPr>
              <w:spacing w:after="60"/>
              <w:jc w:val="center"/>
            </w:pPr>
          </w:p>
        </w:tc>
        <w:tc>
          <w:tcPr>
            <w:tcW w:w="3383" w:type="dxa"/>
            <w:tcBorders>
              <w:top w:val="nil"/>
              <w:left w:val="single" w:sz="4" w:space="0" w:color="000000" w:themeColor="text1"/>
              <w:bottom w:val="single" w:sz="18" w:space="0" w:color="000000" w:themeColor="text1"/>
              <w:right w:val="single" w:sz="4" w:space="0" w:color="000000" w:themeColor="text1"/>
            </w:tcBorders>
            <w:hideMark/>
          </w:tcPr>
          <w:p w:rsidR="001E7A1F" w:rsidRDefault="001E7A1F" w:rsidP="001E7A1F">
            <w:pPr>
              <w:spacing w:after="60"/>
            </w:pPr>
            <w:r>
              <w:t xml:space="preserve">        </w:t>
            </w:r>
            <w:r w:rsidRPr="001E7A1F">
              <w:t>Adjusted Present Value</w:t>
            </w:r>
          </w:p>
        </w:tc>
        <w:tc>
          <w:tcPr>
            <w:tcW w:w="667" w:type="dxa"/>
            <w:tcBorders>
              <w:top w:val="nil"/>
              <w:left w:val="single" w:sz="4" w:space="0" w:color="000000" w:themeColor="text1"/>
              <w:bottom w:val="single" w:sz="18" w:space="0" w:color="000000" w:themeColor="text1"/>
              <w:right w:val="single" w:sz="4" w:space="0" w:color="000000" w:themeColor="text1"/>
            </w:tcBorders>
            <w:hideMark/>
          </w:tcPr>
          <w:p w:rsidR="001E7A1F" w:rsidRDefault="001E7A1F" w:rsidP="001E7A1F">
            <w:pPr>
              <w:spacing w:after="60"/>
              <w:jc w:val="center"/>
            </w:pPr>
            <w:r>
              <w:t>5</w:t>
            </w:r>
          </w:p>
        </w:tc>
        <w:tc>
          <w:tcPr>
            <w:tcW w:w="1440" w:type="dxa"/>
            <w:tcBorders>
              <w:top w:val="nil"/>
              <w:left w:val="single" w:sz="4" w:space="0" w:color="000000" w:themeColor="text1"/>
              <w:bottom w:val="single" w:sz="18" w:space="0" w:color="000000" w:themeColor="text1"/>
              <w:right w:val="single" w:sz="4" w:space="0" w:color="000000" w:themeColor="text1"/>
            </w:tcBorders>
            <w:hideMark/>
          </w:tcPr>
          <w:p w:rsidR="001E7A1F" w:rsidRDefault="001E7A1F" w:rsidP="001E7A1F">
            <w:pPr>
              <w:spacing w:after="60"/>
              <w:jc w:val="center"/>
            </w:pPr>
            <w:r>
              <w:t>Ch 6, pages 119-129</w:t>
            </w:r>
          </w:p>
        </w:tc>
        <w:tc>
          <w:tcPr>
            <w:tcW w:w="1728" w:type="dxa"/>
            <w:vMerge/>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hideMark/>
          </w:tcPr>
          <w:p w:rsidR="001E7A1F" w:rsidRDefault="001E7A1F" w:rsidP="001E7A1F">
            <w:pPr>
              <w:spacing w:after="60"/>
            </w:pPr>
          </w:p>
        </w:tc>
      </w:tr>
      <w:tr w:rsidR="001E7A1F" w:rsidTr="001E7A1F">
        <w:tc>
          <w:tcPr>
            <w:tcW w:w="15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pPr>
            <w:r>
              <w:t>Analyzing Historical Performance</w:t>
            </w:r>
          </w:p>
        </w:tc>
        <w:tc>
          <w:tcPr>
            <w:tcW w:w="81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4</w:t>
            </w:r>
          </w:p>
        </w:tc>
        <w:tc>
          <w:tcPr>
            <w:tcW w:w="3383"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pPr>
            <w:r w:rsidRPr="001E7A1F">
              <w:t>Reorganizing the Financial Statements</w:t>
            </w:r>
          </w:p>
        </w:tc>
        <w:tc>
          <w:tcPr>
            <w:tcW w:w="667"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6</w:t>
            </w:r>
          </w:p>
        </w:tc>
        <w:tc>
          <w:tcPr>
            <w:tcW w:w="144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Ch 7</w:t>
            </w:r>
          </w:p>
        </w:tc>
        <w:tc>
          <w:tcPr>
            <w:tcW w:w="1728"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rsidR="001E7A1F" w:rsidRDefault="001E7A1F" w:rsidP="001E7A1F">
            <w:pPr>
              <w:spacing w:after="60"/>
            </w:pP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5</w:t>
            </w:r>
          </w:p>
        </w:tc>
        <w:tc>
          <w:tcPr>
            <w:tcW w:w="3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pPr>
            <w:r w:rsidRPr="001E7A1F">
              <w:t>Analyzing Performance and Competitive Position</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Ch 8</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A1F" w:rsidRDefault="001E7A1F" w:rsidP="001E7A1F">
            <w:pPr>
              <w:spacing w:after="60"/>
            </w:pP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single" w:sz="4" w:space="0" w:color="000000" w:themeColor="text1"/>
              <w:left w:val="single" w:sz="4" w:space="0" w:color="000000" w:themeColor="text1"/>
              <w:bottom w:val="nil"/>
              <w:right w:val="single" w:sz="4" w:space="0" w:color="000000" w:themeColor="text1"/>
            </w:tcBorders>
            <w:hideMark/>
          </w:tcPr>
          <w:p w:rsidR="001E7A1F" w:rsidRDefault="001E7A1F" w:rsidP="001E7A1F">
            <w:pPr>
              <w:spacing w:after="60"/>
              <w:jc w:val="center"/>
            </w:pPr>
            <w:r>
              <w:t>6</w:t>
            </w:r>
          </w:p>
        </w:tc>
        <w:tc>
          <w:tcPr>
            <w:tcW w:w="3383" w:type="dxa"/>
            <w:tcBorders>
              <w:top w:val="single" w:sz="4" w:space="0" w:color="000000" w:themeColor="text1"/>
              <w:left w:val="single" w:sz="4" w:space="0" w:color="000000" w:themeColor="text1"/>
              <w:bottom w:val="nil"/>
              <w:right w:val="single" w:sz="4" w:space="0" w:color="000000" w:themeColor="text1"/>
            </w:tcBorders>
            <w:hideMark/>
          </w:tcPr>
          <w:p w:rsidR="001E7A1F" w:rsidRDefault="001E7A1F" w:rsidP="001E7A1F">
            <w:pPr>
              <w:spacing w:after="60"/>
            </w:pPr>
            <w:r>
              <w:t>Advanced Financial Analysis</w:t>
            </w:r>
          </w:p>
        </w:tc>
        <w:tc>
          <w:tcPr>
            <w:tcW w:w="667" w:type="dxa"/>
            <w:tcBorders>
              <w:top w:val="single" w:sz="4" w:space="0" w:color="000000" w:themeColor="text1"/>
              <w:left w:val="single" w:sz="4" w:space="0" w:color="000000" w:themeColor="text1"/>
              <w:bottom w:val="nil"/>
              <w:right w:val="single" w:sz="4" w:space="0" w:color="000000" w:themeColor="text1"/>
            </w:tcBorders>
          </w:tcPr>
          <w:p w:rsidR="001E7A1F" w:rsidRDefault="001E7A1F" w:rsidP="001E7A1F">
            <w:pPr>
              <w:spacing w:after="60"/>
              <w:jc w:val="center"/>
            </w:pPr>
          </w:p>
        </w:tc>
        <w:tc>
          <w:tcPr>
            <w:tcW w:w="1440" w:type="dxa"/>
            <w:tcBorders>
              <w:top w:val="single" w:sz="4" w:space="0" w:color="000000" w:themeColor="text1"/>
              <w:left w:val="single" w:sz="4" w:space="0" w:color="000000" w:themeColor="text1"/>
              <w:bottom w:val="nil"/>
              <w:right w:val="single" w:sz="4" w:space="0" w:color="000000" w:themeColor="text1"/>
            </w:tcBorders>
          </w:tcPr>
          <w:p w:rsidR="001E7A1F" w:rsidRDefault="001E7A1F" w:rsidP="001E7A1F">
            <w:pPr>
              <w:spacing w:after="60"/>
              <w:jc w:val="center"/>
            </w:pPr>
          </w:p>
        </w:tc>
        <w:tc>
          <w:tcPr>
            <w:tcW w:w="1728" w:type="dxa"/>
            <w:vMerge w:val="restart"/>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1E7A1F" w:rsidRDefault="001E7A1F" w:rsidP="001E7A1F">
            <w:pPr>
              <w:spacing w:after="60"/>
            </w:pPr>
            <w:r>
              <w:t>Case Due: Reorganizing the Financials</w:t>
            </w: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nil"/>
              <w:left w:val="single" w:sz="4" w:space="0" w:color="000000" w:themeColor="text1"/>
              <w:bottom w:val="nil"/>
              <w:right w:val="single" w:sz="4" w:space="0" w:color="000000" w:themeColor="text1"/>
            </w:tcBorders>
          </w:tcPr>
          <w:p w:rsidR="001E7A1F" w:rsidRDefault="001E7A1F" w:rsidP="001E7A1F">
            <w:pPr>
              <w:spacing w:after="60"/>
              <w:jc w:val="center"/>
            </w:pPr>
          </w:p>
        </w:tc>
        <w:tc>
          <w:tcPr>
            <w:tcW w:w="3383" w:type="dxa"/>
            <w:tcBorders>
              <w:top w:val="nil"/>
              <w:left w:val="single" w:sz="4" w:space="0" w:color="000000" w:themeColor="text1"/>
              <w:bottom w:val="nil"/>
              <w:right w:val="single" w:sz="4" w:space="0" w:color="000000" w:themeColor="text1"/>
            </w:tcBorders>
            <w:hideMark/>
          </w:tcPr>
          <w:p w:rsidR="001E7A1F" w:rsidRDefault="001E7A1F" w:rsidP="001E7A1F">
            <w:pPr>
              <w:spacing w:after="60"/>
              <w:ind w:left="383"/>
            </w:pPr>
            <w:r w:rsidRPr="001E7A1F">
              <w:t>Taxes</w:t>
            </w:r>
          </w:p>
        </w:tc>
        <w:tc>
          <w:tcPr>
            <w:tcW w:w="667" w:type="dxa"/>
            <w:tcBorders>
              <w:top w:val="nil"/>
              <w:left w:val="single" w:sz="4" w:space="0" w:color="000000" w:themeColor="text1"/>
              <w:bottom w:val="nil"/>
              <w:right w:val="single" w:sz="4" w:space="0" w:color="000000" w:themeColor="text1"/>
            </w:tcBorders>
            <w:hideMark/>
          </w:tcPr>
          <w:p w:rsidR="001E7A1F" w:rsidRDefault="001E7A1F" w:rsidP="001E7A1F">
            <w:pPr>
              <w:spacing w:after="60"/>
              <w:jc w:val="center"/>
            </w:pPr>
            <w:r>
              <w:t>8</w:t>
            </w:r>
          </w:p>
        </w:tc>
        <w:tc>
          <w:tcPr>
            <w:tcW w:w="1440" w:type="dxa"/>
            <w:tcBorders>
              <w:top w:val="nil"/>
              <w:left w:val="single" w:sz="4" w:space="0" w:color="000000" w:themeColor="text1"/>
              <w:bottom w:val="nil"/>
              <w:right w:val="single" w:sz="4" w:space="0" w:color="000000" w:themeColor="text1"/>
            </w:tcBorders>
            <w:hideMark/>
          </w:tcPr>
          <w:p w:rsidR="001E7A1F" w:rsidRDefault="001E7A1F" w:rsidP="001E7A1F">
            <w:pPr>
              <w:spacing w:after="60"/>
              <w:jc w:val="center"/>
            </w:pPr>
            <w:r>
              <w:t>Ch 25</w:t>
            </w:r>
          </w:p>
        </w:tc>
        <w:tc>
          <w:tcPr>
            <w:tcW w:w="1728" w:type="dxa"/>
            <w:vMerge/>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hideMark/>
          </w:tcPr>
          <w:p w:rsidR="001E7A1F" w:rsidRDefault="001E7A1F" w:rsidP="001E7A1F">
            <w:pPr>
              <w:spacing w:after="60"/>
            </w:pP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nil"/>
              <w:left w:val="single" w:sz="4" w:space="0" w:color="000000" w:themeColor="text1"/>
              <w:bottom w:val="single" w:sz="18" w:space="0" w:color="000000" w:themeColor="text1"/>
              <w:right w:val="single" w:sz="4" w:space="0" w:color="000000" w:themeColor="text1"/>
            </w:tcBorders>
            <w:hideMark/>
          </w:tcPr>
          <w:p w:rsidR="001E7A1F" w:rsidRDefault="001E7A1F" w:rsidP="001E7A1F">
            <w:pPr>
              <w:spacing w:after="60"/>
              <w:jc w:val="center"/>
            </w:pPr>
            <w:r>
              <w:t xml:space="preserve"> </w:t>
            </w:r>
          </w:p>
        </w:tc>
        <w:tc>
          <w:tcPr>
            <w:tcW w:w="3383" w:type="dxa"/>
            <w:tcBorders>
              <w:top w:val="nil"/>
              <w:left w:val="single" w:sz="4" w:space="0" w:color="000000" w:themeColor="text1"/>
              <w:bottom w:val="single" w:sz="18" w:space="0" w:color="000000" w:themeColor="text1"/>
              <w:right w:val="single" w:sz="4" w:space="0" w:color="000000" w:themeColor="text1"/>
            </w:tcBorders>
            <w:hideMark/>
          </w:tcPr>
          <w:p w:rsidR="001E7A1F" w:rsidRDefault="001E7A1F" w:rsidP="001E7A1F">
            <w:pPr>
              <w:spacing w:after="60"/>
              <w:ind w:left="383"/>
            </w:pPr>
            <w:r w:rsidRPr="001E7A1F">
              <w:t>Pensions, Leases and Other Obligations</w:t>
            </w:r>
          </w:p>
        </w:tc>
        <w:tc>
          <w:tcPr>
            <w:tcW w:w="667" w:type="dxa"/>
            <w:tcBorders>
              <w:top w:val="nil"/>
              <w:left w:val="single" w:sz="4" w:space="0" w:color="000000" w:themeColor="text1"/>
              <w:bottom w:val="single" w:sz="18" w:space="0" w:color="000000" w:themeColor="text1"/>
              <w:right w:val="single" w:sz="4" w:space="0" w:color="000000" w:themeColor="text1"/>
            </w:tcBorders>
            <w:hideMark/>
          </w:tcPr>
          <w:p w:rsidR="001E7A1F" w:rsidRDefault="001E7A1F" w:rsidP="001E7A1F">
            <w:pPr>
              <w:spacing w:after="60"/>
              <w:jc w:val="center"/>
            </w:pPr>
            <w:r>
              <w:t>9</w:t>
            </w:r>
          </w:p>
        </w:tc>
        <w:tc>
          <w:tcPr>
            <w:tcW w:w="1440" w:type="dxa"/>
            <w:tcBorders>
              <w:top w:val="nil"/>
              <w:left w:val="single" w:sz="4" w:space="0" w:color="000000" w:themeColor="text1"/>
              <w:bottom w:val="single" w:sz="18" w:space="0" w:color="000000" w:themeColor="text1"/>
              <w:right w:val="single" w:sz="4" w:space="0" w:color="000000" w:themeColor="text1"/>
            </w:tcBorders>
            <w:hideMark/>
          </w:tcPr>
          <w:p w:rsidR="001E7A1F" w:rsidRDefault="001E7A1F" w:rsidP="001E7A1F">
            <w:pPr>
              <w:spacing w:after="60"/>
              <w:jc w:val="center"/>
            </w:pPr>
            <w:r>
              <w:t>Ch 27</w:t>
            </w:r>
          </w:p>
        </w:tc>
        <w:tc>
          <w:tcPr>
            <w:tcW w:w="1728" w:type="dxa"/>
            <w:vMerge/>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hideMark/>
          </w:tcPr>
          <w:p w:rsidR="001E7A1F" w:rsidRDefault="001E7A1F" w:rsidP="001E7A1F">
            <w:pPr>
              <w:spacing w:after="60"/>
            </w:pPr>
          </w:p>
        </w:tc>
      </w:tr>
      <w:tr w:rsidR="001E7A1F" w:rsidTr="001E7A1F">
        <w:tc>
          <w:tcPr>
            <w:tcW w:w="15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pPr>
            <w:r>
              <w:t>Building the Valuation Model</w:t>
            </w:r>
          </w:p>
        </w:tc>
        <w:tc>
          <w:tcPr>
            <w:tcW w:w="810" w:type="dxa"/>
            <w:tcBorders>
              <w:top w:val="single" w:sz="18" w:space="0" w:color="000000" w:themeColor="text1"/>
              <w:left w:val="single" w:sz="4" w:space="0" w:color="000000" w:themeColor="text1"/>
              <w:bottom w:val="nil"/>
              <w:right w:val="single" w:sz="4" w:space="0" w:color="000000" w:themeColor="text1"/>
            </w:tcBorders>
            <w:hideMark/>
          </w:tcPr>
          <w:p w:rsidR="001E7A1F" w:rsidRDefault="001E7A1F" w:rsidP="001E7A1F">
            <w:pPr>
              <w:spacing w:after="60"/>
              <w:jc w:val="center"/>
            </w:pPr>
            <w:r>
              <w:t>7</w:t>
            </w:r>
          </w:p>
        </w:tc>
        <w:tc>
          <w:tcPr>
            <w:tcW w:w="3383" w:type="dxa"/>
            <w:tcBorders>
              <w:top w:val="single" w:sz="18" w:space="0" w:color="000000" w:themeColor="text1"/>
              <w:left w:val="single" w:sz="4" w:space="0" w:color="000000" w:themeColor="text1"/>
              <w:bottom w:val="nil"/>
              <w:right w:val="single" w:sz="4" w:space="0" w:color="000000" w:themeColor="text1"/>
            </w:tcBorders>
            <w:hideMark/>
          </w:tcPr>
          <w:p w:rsidR="001E7A1F" w:rsidRDefault="001E7A1F" w:rsidP="001E7A1F">
            <w:pPr>
              <w:spacing w:after="60"/>
            </w:pPr>
            <w:r>
              <w:t xml:space="preserve">Forecasting Performance </w:t>
            </w:r>
          </w:p>
        </w:tc>
        <w:tc>
          <w:tcPr>
            <w:tcW w:w="667" w:type="dxa"/>
            <w:tcBorders>
              <w:top w:val="single" w:sz="18" w:space="0" w:color="000000" w:themeColor="text1"/>
              <w:left w:val="single" w:sz="4" w:space="0" w:color="000000" w:themeColor="text1"/>
              <w:bottom w:val="nil"/>
              <w:right w:val="single" w:sz="4" w:space="0" w:color="000000" w:themeColor="text1"/>
            </w:tcBorders>
          </w:tcPr>
          <w:p w:rsidR="001E7A1F" w:rsidRDefault="001E7A1F" w:rsidP="001E7A1F">
            <w:pPr>
              <w:spacing w:after="60"/>
              <w:jc w:val="center"/>
            </w:pPr>
          </w:p>
        </w:tc>
        <w:tc>
          <w:tcPr>
            <w:tcW w:w="1440" w:type="dxa"/>
            <w:tcBorders>
              <w:top w:val="single" w:sz="18" w:space="0" w:color="000000" w:themeColor="text1"/>
              <w:left w:val="single" w:sz="4" w:space="0" w:color="000000" w:themeColor="text1"/>
              <w:bottom w:val="nil"/>
              <w:right w:val="single" w:sz="4" w:space="0" w:color="000000" w:themeColor="text1"/>
            </w:tcBorders>
          </w:tcPr>
          <w:p w:rsidR="001E7A1F" w:rsidRDefault="001E7A1F" w:rsidP="001E7A1F">
            <w:pPr>
              <w:spacing w:after="60"/>
              <w:jc w:val="center"/>
            </w:pPr>
          </w:p>
        </w:tc>
        <w:tc>
          <w:tcPr>
            <w:tcW w:w="1728" w:type="dxa"/>
            <w:vMerge w:val="restart"/>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pPr>
            <w:r>
              <w:t>Case Due: Competitive Benchmarking</w:t>
            </w: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nil"/>
              <w:left w:val="single" w:sz="4" w:space="0" w:color="000000" w:themeColor="text1"/>
              <w:bottom w:val="nil"/>
              <w:right w:val="single" w:sz="4" w:space="0" w:color="000000" w:themeColor="text1"/>
            </w:tcBorders>
          </w:tcPr>
          <w:p w:rsidR="001E7A1F" w:rsidRDefault="001E7A1F" w:rsidP="001E7A1F">
            <w:pPr>
              <w:spacing w:after="60"/>
              <w:jc w:val="center"/>
            </w:pPr>
          </w:p>
        </w:tc>
        <w:tc>
          <w:tcPr>
            <w:tcW w:w="3383" w:type="dxa"/>
            <w:tcBorders>
              <w:top w:val="nil"/>
              <w:left w:val="single" w:sz="4" w:space="0" w:color="000000" w:themeColor="text1"/>
              <w:bottom w:val="nil"/>
              <w:right w:val="single" w:sz="4" w:space="0" w:color="000000" w:themeColor="text1"/>
            </w:tcBorders>
            <w:hideMark/>
          </w:tcPr>
          <w:p w:rsidR="001E7A1F" w:rsidRDefault="001E7A1F" w:rsidP="001E7A1F">
            <w:pPr>
              <w:spacing w:after="60"/>
            </w:pPr>
            <w:r>
              <w:t xml:space="preserve">       </w:t>
            </w:r>
            <w:r w:rsidRPr="001E7A1F">
              <w:t>The Explicit Forecast Period</w:t>
            </w:r>
          </w:p>
        </w:tc>
        <w:tc>
          <w:tcPr>
            <w:tcW w:w="667" w:type="dxa"/>
            <w:tcBorders>
              <w:top w:val="nil"/>
              <w:left w:val="single" w:sz="4" w:space="0" w:color="000000" w:themeColor="text1"/>
              <w:bottom w:val="nil"/>
              <w:right w:val="single" w:sz="4" w:space="0" w:color="000000" w:themeColor="text1"/>
            </w:tcBorders>
            <w:hideMark/>
          </w:tcPr>
          <w:p w:rsidR="001E7A1F" w:rsidRDefault="001E7A1F" w:rsidP="001E7A1F">
            <w:pPr>
              <w:spacing w:after="60"/>
              <w:jc w:val="center"/>
            </w:pPr>
            <w:r>
              <w:t>10</w:t>
            </w:r>
          </w:p>
        </w:tc>
        <w:tc>
          <w:tcPr>
            <w:tcW w:w="1440" w:type="dxa"/>
            <w:tcBorders>
              <w:top w:val="nil"/>
              <w:left w:val="single" w:sz="4" w:space="0" w:color="000000" w:themeColor="text1"/>
              <w:bottom w:val="nil"/>
              <w:right w:val="single" w:sz="4" w:space="0" w:color="000000" w:themeColor="text1"/>
            </w:tcBorders>
            <w:hideMark/>
          </w:tcPr>
          <w:p w:rsidR="001E7A1F" w:rsidRDefault="001E7A1F" w:rsidP="001E7A1F">
            <w:pPr>
              <w:spacing w:after="60"/>
              <w:jc w:val="center"/>
            </w:pPr>
            <w:r>
              <w:t>Ch 9</w:t>
            </w:r>
          </w:p>
        </w:tc>
        <w:tc>
          <w:tcPr>
            <w:tcW w:w="1728" w:type="dxa"/>
            <w:vMerge/>
            <w:tcBorders>
              <w:top w:val="single" w:sz="1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nil"/>
              <w:left w:val="single" w:sz="4" w:space="0" w:color="000000" w:themeColor="text1"/>
              <w:bottom w:val="single" w:sz="4" w:space="0" w:color="000000" w:themeColor="text1"/>
              <w:right w:val="single" w:sz="4" w:space="0" w:color="000000" w:themeColor="text1"/>
            </w:tcBorders>
          </w:tcPr>
          <w:p w:rsidR="001E7A1F" w:rsidRDefault="001E7A1F" w:rsidP="001E7A1F">
            <w:pPr>
              <w:spacing w:after="60"/>
              <w:jc w:val="center"/>
            </w:pPr>
          </w:p>
        </w:tc>
        <w:tc>
          <w:tcPr>
            <w:tcW w:w="3383" w:type="dxa"/>
            <w:tcBorders>
              <w:top w:val="nil"/>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pPr>
            <w:r>
              <w:t xml:space="preserve">       </w:t>
            </w:r>
            <w:r w:rsidRPr="001E7A1F">
              <w:t>Continuing Value</w:t>
            </w:r>
          </w:p>
        </w:tc>
        <w:tc>
          <w:tcPr>
            <w:tcW w:w="667" w:type="dxa"/>
            <w:tcBorders>
              <w:top w:val="nil"/>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11</w:t>
            </w:r>
          </w:p>
        </w:tc>
        <w:tc>
          <w:tcPr>
            <w:tcW w:w="1440" w:type="dxa"/>
            <w:tcBorders>
              <w:top w:val="nil"/>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Ch 10</w:t>
            </w:r>
          </w:p>
        </w:tc>
        <w:tc>
          <w:tcPr>
            <w:tcW w:w="1728" w:type="dxa"/>
            <w:vMerge/>
            <w:tcBorders>
              <w:top w:val="single" w:sz="1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single" w:sz="4" w:space="0" w:color="000000" w:themeColor="text1"/>
              <w:left w:val="single" w:sz="4" w:space="0" w:color="000000" w:themeColor="text1"/>
              <w:bottom w:val="nil"/>
              <w:right w:val="single" w:sz="4" w:space="0" w:color="000000" w:themeColor="text1"/>
            </w:tcBorders>
            <w:hideMark/>
          </w:tcPr>
          <w:p w:rsidR="001E7A1F" w:rsidRDefault="001E7A1F" w:rsidP="001E7A1F">
            <w:pPr>
              <w:spacing w:after="60"/>
              <w:jc w:val="center"/>
            </w:pPr>
            <w:r>
              <w:t>8</w:t>
            </w:r>
          </w:p>
        </w:tc>
        <w:tc>
          <w:tcPr>
            <w:tcW w:w="3383" w:type="dxa"/>
            <w:tcBorders>
              <w:top w:val="single" w:sz="4" w:space="0" w:color="000000" w:themeColor="text1"/>
              <w:left w:val="single" w:sz="4" w:space="0" w:color="000000" w:themeColor="text1"/>
              <w:bottom w:val="nil"/>
              <w:right w:val="single" w:sz="4" w:space="0" w:color="000000" w:themeColor="text1"/>
            </w:tcBorders>
            <w:hideMark/>
          </w:tcPr>
          <w:p w:rsidR="001E7A1F" w:rsidRDefault="001E7A1F" w:rsidP="001E7A1F">
            <w:pPr>
              <w:spacing w:after="60"/>
            </w:pPr>
            <w:r>
              <w:t>The Weighted Average Cost of Capital</w:t>
            </w:r>
          </w:p>
        </w:tc>
        <w:tc>
          <w:tcPr>
            <w:tcW w:w="667" w:type="dxa"/>
            <w:tcBorders>
              <w:top w:val="single" w:sz="4" w:space="0" w:color="000000" w:themeColor="text1"/>
              <w:left w:val="single" w:sz="4" w:space="0" w:color="000000" w:themeColor="text1"/>
              <w:bottom w:val="nil"/>
              <w:right w:val="single" w:sz="4" w:space="0" w:color="000000" w:themeColor="text1"/>
            </w:tcBorders>
          </w:tcPr>
          <w:p w:rsidR="001E7A1F" w:rsidRDefault="001E7A1F" w:rsidP="001E7A1F">
            <w:pPr>
              <w:spacing w:after="60"/>
              <w:jc w:val="center"/>
            </w:pPr>
          </w:p>
        </w:tc>
        <w:tc>
          <w:tcPr>
            <w:tcW w:w="1440" w:type="dxa"/>
            <w:tcBorders>
              <w:top w:val="single" w:sz="4" w:space="0" w:color="000000" w:themeColor="text1"/>
              <w:left w:val="single" w:sz="4" w:space="0" w:color="000000" w:themeColor="text1"/>
              <w:bottom w:val="nil"/>
              <w:right w:val="single" w:sz="4" w:space="0" w:color="000000" w:themeColor="text1"/>
            </w:tcBorders>
          </w:tcPr>
          <w:p w:rsidR="001E7A1F" w:rsidRDefault="001E7A1F" w:rsidP="001E7A1F">
            <w:pPr>
              <w:spacing w:after="60"/>
              <w:jc w:val="center"/>
            </w:pPr>
          </w:p>
        </w:tc>
        <w:tc>
          <w:tcPr>
            <w:tcW w:w="1728" w:type="dxa"/>
            <w:tcBorders>
              <w:top w:val="single" w:sz="4" w:space="0" w:color="000000" w:themeColor="text1"/>
              <w:left w:val="single" w:sz="4" w:space="0" w:color="000000" w:themeColor="text1"/>
              <w:bottom w:val="nil"/>
              <w:right w:val="single" w:sz="4" w:space="0" w:color="000000" w:themeColor="text1"/>
            </w:tcBorders>
          </w:tcPr>
          <w:p w:rsidR="001E7A1F" w:rsidRDefault="001E7A1F" w:rsidP="001E7A1F">
            <w:pPr>
              <w:spacing w:after="60"/>
            </w:pP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nil"/>
              <w:left w:val="single" w:sz="4" w:space="0" w:color="000000" w:themeColor="text1"/>
              <w:bottom w:val="nil"/>
              <w:right w:val="single" w:sz="4" w:space="0" w:color="000000" w:themeColor="text1"/>
            </w:tcBorders>
          </w:tcPr>
          <w:p w:rsidR="001E7A1F" w:rsidRDefault="001E7A1F" w:rsidP="001E7A1F">
            <w:pPr>
              <w:spacing w:after="60"/>
              <w:jc w:val="center"/>
            </w:pPr>
          </w:p>
        </w:tc>
        <w:tc>
          <w:tcPr>
            <w:tcW w:w="3383" w:type="dxa"/>
            <w:tcBorders>
              <w:top w:val="nil"/>
              <w:left w:val="single" w:sz="4" w:space="0" w:color="000000" w:themeColor="text1"/>
              <w:bottom w:val="nil"/>
              <w:right w:val="single" w:sz="4" w:space="0" w:color="000000" w:themeColor="text1"/>
            </w:tcBorders>
            <w:hideMark/>
          </w:tcPr>
          <w:p w:rsidR="001E7A1F" w:rsidRDefault="001E7A1F" w:rsidP="001E7A1F">
            <w:pPr>
              <w:spacing w:after="60"/>
            </w:pPr>
            <w:r>
              <w:t xml:space="preserve">       </w:t>
            </w:r>
            <w:r w:rsidRPr="001E7A1F">
              <w:t>The Cost of Equity</w:t>
            </w:r>
          </w:p>
        </w:tc>
        <w:tc>
          <w:tcPr>
            <w:tcW w:w="667" w:type="dxa"/>
            <w:tcBorders>
              <w:top w:val="nil"/>
              <w:left w:val="single" w:sz="4" w:space="0" w:color="000000" w:themeColor="text1"/>
              <w:bottom w:val="nil"/>
              <w:right w:val="single" w:sz="4" w:space="0" w:color="000000" w:themeColor="text1"/>
            </w:tcBorders>
            <w:hideMark/>
          </w:tcPr>
          <w:p w:rsidR="001E7A1F" w:rsidRDefault="001E7A1F" w:rsidP="001E7A1F">
            <w:pPr>
              <w:spacing w:after="60"/>
              <w:jc w:val="center"/>
            </w:pPr>
            <w:r>
              <w:t>12</w:t>
            </w:r>
          </w:p>
        </w:tc>
        <w:tc>
          <w:tcPr>
            <w:tcW w:w="1440" w:type="dxa"/>
            <w:tcBorders>
              <w:top w:val="nil"/>
              <w:left w:val="single" w:sz="4" w:space="0" w:color="000000" w:themeColor="text1"/>
              <w:bottom w:val="nil"/>
              <w:right w:val="single" w:sz="4" w:space="0" w:color="000000" w:themeColor="text1"/>
            </w:tcBorders>
            <w:hideMark/>
          </w:tcPr>
          <w:p w:rsidR="001E7A1F" w:rsidRDefault="001E7A1F" w:rsidP="001E7A1F">
            <w:pPr>
              <w:spacing w:after="60"/>
              <w:jc w:val="center"/>
            </w:pPr>
            <w:r>
              <w:t>Ch 11, pages 231-257</w:t>
            </w:r>
          </w:p>
        </w:tc>
        <w:tc>
          <w:tcPr>
            <w:tcW w:w="1728" w:type="dxa"/>
            <w:tcBorders>
              <w:top w:val="nil"/>
              <w:left w:val="single" w:sz="4" w:space="0" w:color="000000" w:themeColor="text1"/>
              <w:bottom w:val="nil"/>
              <w:right w:val="single" w:sz="4" w:space="0" w:color="000000" w:themeColor="text1"/>
            </w:tcBorders>
          </w:tcPr>
          <w:p w:rsidR="001E7A1F" w:rsidRDefault="001E7A1F" w:rsidP="001E7A1F">
            <w:pPr>
              <w:spacing w:after="60"/>
            </w:pP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nil"/>
              <w:left w:val="single" w:sz="4" w:space="0" w:color="000000" w:themeColor="text1"/>
              <w:bottom w:val="single" w:sz="4" w:space="0" w:color="000000" w:themeColor="text1"/>
              <w:right w:val="single" w:sz="4" w:space="0" w:color="000000" w:themeColor="text1"/>
            </w:tcBorders>
          </w:tcPr>
          <w:p w:rsidR="001E7A1F" w:rsidRDefault="001E7A1F" w:rsidP="001E7A1F">
            <w:pPr>
              <w:spacing w:after="60"/>
              <w:jc w:val="center"/>
            </w:pPr>
          </w:p>
        </w:tc>
        <w:tc>
          <w:tcPr>
            <w:tcW w:w="3383" w:type="dxa"/>
            <w:tcBorders>
              <w:top w:val="nil"/>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pPr>
            <w:r>
              <w:t xml:space="preserve">       </w:t>
            </w:r>
            <w:r w:rsidRPr="001E7A1F">
              <w:t>The Cost of Debt</w:t>
            </w:r>
          </w:p>
        </w:tc>
        <w:tc>
          <w:tcPr>
            <w:tcW w:w="667" w:type="dxa"/>
            <w:tcBorders>
              <w:top w:val="nil"/>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13</w:t>
            </w:r>
          </w:p>
        </w:tc>
        <w:tc>
          <w:tcPr>
            <w:tcW w:w="1440" w:type="dxa"/>
            <w:tcBorders>
              <w:top w:val="nil"/>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Ch 11, pages 257-266</w:t>
            </w:r>
          </w:p>
        </w:tc>
        <w:tc>
          <w:tcPr>
            <w:tcW w:w="1728" w:type="dxa"/>
            <w:tcBorders>
              <w:top w:val="nil"/>
              <w:left w:val="single" w:sz="4" w:space="0" w:color="000000" w:themeColor="text1"/>
              <w:bottom w:val="single" w:sz="4" w:space="0" w:color="000000" w:themeColor="text1"/>
              <w:right w:val="single" w:sz="4" w:space="0" w:color="000000" w:themeColor="text1"/>
            </w:tcBorders>
          </w:tcPr>
          <w:p w:rsidR="001E7A1F" w:rsidRDefault="001E7A1F" w:rsidP="001E7A1F">
            <w:pPr>
              <w:spacing w:after="60"/>
            </w:pP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single" w:sz="4" w:space="0" w:color="000000" w:themeColor="text1"/>
              <w:left w:val="single" w:sz="4" w:space="0" w:color="000000" w:themeColor="text1"/>
              <w:bottom w:val="nil"/>
              <w:right w:val="single" w:sz="4" w:space="0" w:color="000000" w:themeColor="text1"/>
            </w:tcBorders>
            <w:hideMark/>
          </w:tcPr>
          <w:p w:rsidR="001E7A1F" w:rsidRDefault="001E7A1F" w:rsidP="001E7A1F">
            <w:pPr>
              <w:spacing w:after="60"/>
              <w:jc w:val="center"/>
            </w:pPr>
            <w:r>
              <w:t>9</w:t>
            </w:r>
          </w:p>
        </w:tc>
        <w:tc>
          <w:tcPr>
            <w:tcW w:w="3383" w:type="dxa"/>
            <w:tcBorders>
              <w:top w:val="single" w:sz="4" w:space="0" w:color="000000" w:themeColor="text1"/>
              <w:left w:val="single" w:sz="4" w:space="0" w:color="000000" w:themeColor="text1"/>
              <w:bottom w:val="nil"/>
              <w:right w:val="single" w:sz="4" w:space="0" w:color="000000" w:themeColor="text1"/>
            </w:tcBorders>
            <w:hideMark/>
          </w:tcPr>
          <w:p w:rsidR="001E7A1F" w:rsidRDefault="001E7A1F" w:rsidP="001E7A1F">
            <w:pPr>
              <w:spacing w:after="60"/>
            </w:pPr>
            <w:r>
              <w:t>Putting the Model to Work</w:t>
            </w:r>
          </w:p>
        </w:tc>
        <w:tc>
          <w:tcPr>
            <w:tcW w:w="667" w:type="dxa"/>
            <w:tcBorders>
              <w:top w:val="single" w:sz="4" w:space="0" w:color="000000" w:themeColor="text1"/>
              <w:left w:val="single" w:sz="4" w:space="0" w:color="000000" w:themeColor="text1"/>
              <w:bottom w:val="nil"/>
              <w:right w:val="single" w:sz="4" w:space="0" w:color="000000" w:themeColor="text1"/>
            </w:tcBorders>
          </w:tcPr>
          <w:p w:rsidR="001E7A1F" w:rsidRDefault="001E7A1F" w:rsidP="001E7A1F">
            <w:pPr>
              <w:spacing w:after="60"/>
              <w:jc w:val="center"/>
            </w:pPr>
          </w:p>
        </w:tc>
        <w:tc>
          <w:tcPr>
            <w:tcW w:w="1440" w:type="dxa"/>
            <w:tcBorders>
              <w:top w:val="single" w:sz="4" w:space="0" w:color="000000" w:themeColor="text1"/>
              <w:left w:val="single" w:sz="4" w:space="0" w:color="000000" w:themeColor="text1"/>
              <w:bottom w:val="nil"/>
              <w:right w:val="single" w:sz="4" w:space="0" w:color="000000" w:themeColor="text1"/>
            </w:tcBorders>
          </w:tcPr>
          <w:p w:rsidR="001E7A1F" w:rsidRDefault="001E7A1F" w:rsidP="001E7A1F">
            <w:pPr>
              <w:spacing w:after="60"/>
              <w:jc w:val="center"/>
            </w:pPr>
          </w:p>
        </w:tc>
        <w:tc>
          <w:tcPr>
            <w:tcW w:w="1728" w:type="dxa"/>
            <w:tcBorders>
              <w:top w:val="single" w:sz="4" w:space="0" w:color="000000" w:themeColor="text1"/>
              <w:left w:val="single" w:sz="4" w:space="0" w:color="000000" w:themeColor="text1"/>
              <w:bottom w:val="nil"/>
              <w:right w:val="single" w:sz="4" w:space="0" w:color="000000" w:themeColor="text1"/>
            </w:tcBorders>
          </w:tcPr>
          <w:p w:rsidR="001E7A1F" w:rsidRDefault="001E7A1F" w:rsidP="001E7A1F">
            <w:pPr>
              <w:spacing w:after="60"/>
            </w:pP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nil"/>
              <w:left w:val="single" w:sz="4" w:space="0" w:color="000000" w:themeColor="text1"/>
              <w:bottom w:val="nil"/>
              <w:right w:val="single" w:sz="4" w:space="0" w:color="000000" w:themeColor="text1"/>
            </w:tcBorders>
          </w:tcPr>
          <w:p w:rsidR="001E7A1F" w:rsidRDefault="001E7A1F" w:rsidP="001E7A1F">
            <w:pPr>
              <w:spacing w:after="60"/>
              <w:jc w:val="center"/>
            </w:pPr>
          </w:p>
        </w:tc>
        <w:tc>
          <w:tcPr>
            <w:tcW w:w="3383" w:type="dxa"/>
            <w:tcBorders>
              <w:top w:val="nil"/>
              <w:left w:val="single" w:sz="4" w:space="0" w:color="000000" w:themeColor="text1"/>
              <w:bottom w:val="nil"/>
              <w:right w:val="single" w:sz="4" w:space="0" w:color="000000" w:themeColor="text1"/>
            </w:tcBorders>
            <w:hideMark/>
          </w:tcPr>
          <w:p w:rsidR="001E7A1F" w:rsidRDefault="001E7A1F" w:rsidP="001E7A1F">
            <w:pPr>
              <w:spacing w:after="60"/>
              <w:ind w:left="307"/>
            </w:pPr>
            <w:r w:rsidRPr="001E7A1F">
              <w:t>From Enterprise to Equity Value</w:t>
            </w:r>
          </w:p>
        </w:tc>
        <w:tc>
          <w:tcPr>
            <w:tcW w:w="667" w:type="dxa"/>
            <w:tcBorders>
              <w:top w:val="nil"/>
              <w:left w:val="single" w:sz="4" w:space="0" w:color="000000" w:themeColor="text1"/>
              <w:bottom w:val="nil"/>
              <w:right w:val="single" w:sz="4" w:space="0" w:color="000000" w:themeColor="text1"/>
            </w:tcBorders>
            <w:hideMark/>
          </w:tcPr>
          <w:p w:rsidR="001E7A1F" w:rsidRDefault="001E7A1F" w:rsidP="001E7A1F">
            <w:pPr>
              <w:spacing w:after="60"/>
              <w:jc w:val="center"/>
            </w:pPr>
            <w:r>
              <w:t>14</w:t>
            </w:r>
          </w:p>
        </w:tc>
        <w:tc>
          <w:tcPr>
            <w:tcW w:w="1440" w:type="dxa"/>
            <w:tcBorders>
              <w:top w:val="nil"/>
              <w:left w:val="single" w:sz="4" w:space="0" w:color="000000" w:themeColor="text1"/>
              <w:bottom w:val="nil"/>
              <w:right w:val="single" w:sz="4" w:space="0" w:color="000000" w:themeColor="text1"/>
            </w:tcBorders>
            <w:hideMark/>
          </w:tcPr>
          <w:p w:rsidR="001E7A1F" w:rsidRDefault="001E7A1F" w:rsidP="001E7A1F">
            <w:pPr>
              <w:spacing w:after="60"/>
              <w:jc w:val="center"/>
            </w:pPr>
            <w:r>
              <w:t>Ch 12</w:t>
            </w:r>
          </w:p>
        </w:tc>
        <w:tc>
          <w:tcPr>
            <w:tcW w:w="1728" w:type="dxa"/>
            <w:tcBorders>
              <w:top w:val="nil"/>
              <w:left w:val="single" w:sz="4" w:space="0" w:color="000000" w:themeColor="text1"/>
              <w:bottom w:val="nil"/>
              <w:right w:val="single" w:sz="4" w:space="0" w:color="000000" w:themeColor="text1"/>
            </w:tcBorders>
          </w:tcPr>
          <w:p w:rsidR="001E7A1F" w:rsidRDefault="001E7A1F" w:rsidP="001E7A1F">
            <w:pPr>
              <w:spacing w:after="60"/>
            </w:pPr>
          </w:p>
        </w:tc>
      </w:tr>
      <w:tr w:rsidR="001E7A1F" w:rsidTr="001E7A1F">
        <w:trPr>
          <w:trHeight w:val="70"/>
        </w:trPr>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nil"/>
              <w:left w:val="single" w:sz="4" w:space="0" w:color="000000" w:themeColor="text1"/>
              <w:bottom w:val="single" w:sz="18" w:space="0" w:color="000000" w:themeColor="text1"/>
              <w:right w:val="single" w:sz="4" w:space="0" w:color="000000" w:themeColor="text1"/>
            </w:tcBorders>
          </w:tcPr>
          <w:p w:rsidR="001E7A1F" w:rsidRDefault="001E7A1F" w:rsidP="001E7A1F">
            <w:pPr>
              <w:spacing w:after="60"/>
              <w:jc w:val="center"/>
            </w:pPr>
          </w:p>
        </w:tc>
        <w:tc>
          <w:tcPr>
            <w:tcW w:w="3383" w:type="dxa"/>
            <w:tcBorders>
              <w:top w:val="nil"/>
              <w:left w:val="single" w:sz="4" w:space="0" w:color="000000" w:themeColor="text1"/>
              <w:bottom w:val="single" w:sz="18" w:space="0" w:color="000000" w:themeColor="text1"/>
              <w:right w:val="single" w:sz="4" w:space="0" w:color="000000" w:themeColor="text1"/>
            </w:tcBorders>
            <w:hideMark/>
          </w:tcPr>
          <w:p w:rsidR="001E7A1F" w:rsidRDefault="001E7A1F" w:rsidP="001E7A1F">
            <w:pPr>
              <w:spacing w:after="60"/>
              <w:ind w:left="307"/>
            </w:pPr>
            <w:r w:rsidRPr="001E7A1F">
              <w:t>Calculating and Interpreting Results</w:t>
            </w:r>
          </w:p>
        </w:tc>
        <w:tc>
          <w:tcPr>
            <w:tcW w:w="667" w:type="dxa"/>
            <w:tcBorders>
              <w:top w:val="nil"/>
              <w:left w:val="single" w:sz="4" w:space="0" w:color="000000" w:themeColor="text1"/>
              <w:bottom w:val="single" w:sz="18" w:space="0" w:color="000000" w:themeColor="text1"/>
              <w:right w:val="single" w:sz="4" w:space="0" w:color="000000" w:themeColor="text1"/>
            </w:tcBorders>
            <w:hideMark/>
          </w:tcPr>
          <w:p w:rsidR="001E7A1F" w:rsidRDefault="001E7A1F" w:rsidP="001E7A1F">
            <w:pPr>
              <w:spacing w:after="60"/>
              <w:jc w:val="center"/>
            </w:pPr>
            <w:r>
              <w:t>15</w:t>
            </w:r>
          </w:p>
        </w:tc>
        <w:tc>
          <w:tcPr>
            <w:tcW w:w="1440" w:type="dxa"/>
            <w:tcBorders>
              <w:top w:val="nil"/>
              <w:left w:val="single" w:sz="4" w:space="0" w:color="000000" w:themeColor="text1"/>
              <w:bottom w:val="single" w:sz="18" w:space="0" w:color="000000" w:themeColor="text1"/>
              <w:right w:val="single" w:sz="4" w:space="0" w:color="000000" w:themeColor="text1"/>
            </w:tcBorders>
            <w:hideMark/>
          </w:tcPr>
          <w:p w:rsidR="001E7A1F" w:rsidRDefault="001E7A1F" w:rsidP="001E7A1F">
            <w:pPr>
              <w:spacing w:after="60"/>
              <w:jc w:val="center"/>
            </w:pPr>
            <w:r>
              <w:t>Ch 13</w:t>
            </w:r>
          </w:p>
        </w:tc>
        <w:tc>
          <w:tcPr>
            <w:tcW w:w="1728" w:type="dxa"/>
            <w:tcBorders>
              <w:top w:val="nil"/>
              <w:left w:val="single" w:sz="4" w:space="0" w:color="000000" w:themeColor="text1"/>
              <w:bottom w:val="single" w:sz="18" w:space="0" w:color="000000" w:themeColor="text1"/>
              <w:right w:val="single" w:sz="4" w:space="0" w:color="000000" w:themeColor="text1"/>
            </w:tcBorders>
          </w:tcPr>
          <w:p w:rsidR="001E7A1F" w:rsidRDefault="001E7A1F" w:rsidP="001E7A1F">
            <w:pPr>
              <w:spacing w:after="60"/>
            </w:pPr>
          </w:p>
        </w:tc>
      </w:tr>
      <w:tr w:rsidR="001E7A1F" w:rsidTr="001E7A1F">
        <w:tc>
          <w:tcPr>
            <w:tcW w:w="15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pPr>
            <w:r>
              <w:t>Alternative Methods of Valuation</w:t>
            </w:r>
          </w:p>
        </w:tc>
        <w:tc>
          <w:tcPr>
            <w:tcW w:w="81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10</w:t>
            </w:r>
          </w:p>
        </w:tc>
        <w:tc>
          <w:tcPr>
            <w:tcW w:w="3383"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pPr>
            <w:r w:rsidRPr="001E7A1F">
              <w:t>Multiples</w:t>
            </w:r>
          </w:p>
        </w:tc>
        <w:tc>
          <w:tcPr>
            <w:tcW w:w="667"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16</w:t>
            </w:r>
          </w:p>
        </w:tc>
        <w:tc>
          <w:tcPr>
            <w:tcW w:w="144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Ch 14</w:t>
            </w:r>
          </w:p>
        </w:tc>
        <w:tc>
          <w:tcPr>
            <w:tcW w:w="1728"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pPr>
            <w:r>
              <w:t>Case Due: The Cost of Capital</w:t>
            </w:r>
          </w:p>
        </w:tc>
      </w:tr>
      <w:tr w:rsidR="001E7A1F" w:rsidTr="001E7A1F">
        <w:tc>
          <w:tcPr>
            <w:tcW w:w="1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A1F" w:rsidRDefault="001E7A1F" w:rsidP="001E7A1F">
            <w:pPr>
              <w:spacing w:after="60"/>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11</w:t>
            </w:r>
          </w:p>
        </w:tc>
        <w:tc>
          <w:tcPr>
            <w:tcW w:w="3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pPr>
            <w:r>
              <w:t>Real Options</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17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jc w:val="center"/>
            </w:pPr>
            <w:r>
              <w:t>Ch 32</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A1F" w:rsidRDefault="001E7A1F" w:rsidP="001E7A1F">
            <w:pPr>
              <w:spacing w:after="60"/>
            </w:pPr>
            <w:r>
              <w:t>Case Due: Final Valuation</w:t>
            </w:r>
          </w:p>
        </w:tc>
      </w:tr>
    </w:tbl>
    <w:p w:rsidR="001E7A1F" w:rsidRPr="001E7A1F" w:rsidRDefault="001E7A1F"/>
    <w:sectPr w:rsidR="001E7A1F" w:rsidRPr="001E7A1F" w:rsidSect="00367BA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011" w:rsidRDefault="005C5011" w:rsidP="002E56A2">
      <w:pPr>
        <w:spacing w:after="0" w:line="240" w:lineRule="auto"/>
      </w:pPr>
      <w:r>
        <w:separator/>
      </w:r>
    </w:p>
  </w:endnote>
  <w:endnote w:type="continuationSeparator" w:id="0">
    <w:p w:rsidR="005C5011" w:rsidRDefault="005C5011" w:rsidP="002E5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53079"/>
      <w:docPartObj>
        <w:docPartGallery w:val="Page Numbers (Bottom of Page)"/>
        <w:docPartUnique/>
      </w:docPartObj>
    </w:sdtPr>
    <w:sdtContent>
      <w:p w:rsidR="002E56A2" w:rsidRDefault="00F427ED">
        <w:pPr>
          <w:pStyle w:val="Footer"/>
          <w:jc w:val="right"/>
        </w:pPr>
        <w:fldSimple w:instr=" PAGE   \* MERGEFORMAT ">
          <w:r w:rsidR="005A4696">
            <w:rPr>
              <w:noProof/>
            </w:rPr>
            <w:t>1</w:t>
          </w:r>
        </w:fldSimple>
      </w:p>
    </w:sdtContent>
  </w:sdt>
  <w:p w:rsidR="002E56A2" w:rsidRDefault="002E56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011" w:rsidRDefault="005C5011" w:rsidP="002E56A2">
      <w:pPr>
        <w:spacing w:after="0" w:line="240" w:lineRule="auto"/>
      </w:pPr>
      <w:r>
        <w:separator/>
      </w:r>
    </w:p>
  </w:footnote>
  <w:footnote w:type="continuationSeparator" w:id="0">
    <w:p w:rsidR="005C5011" w:rsidRDefault="005C5011" w:rsidP="002E56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04485"/>
    <w:multiLevelType w:val="hybridMultilevel"/>
    <w:tmpl w:val="C30E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F7DC2"/>
    <w:rsid w:val="00033059"/>
    <w:rsid w:val="00067BD9"/>
    <w:rsid w:val="000F7DC2"/>
    <w:rsid w:val="001311EA"/>
    <w:rsid w:val="00135DA4"/>
    <w:rsid w:val="001E7A1F"/>
    <w:rsid w:val="00201A80"/>
    <w:rsid w:val="00271158"/>
    <w:rsid w:val="002A25CD"/>
    <w:rsid w:val="002B0A8C"/>
    <w:rsid w:val="002E56A2"/>
    <w:rsid w:val="00367BA4"/>
    <w:rsid w:val="00382364"/>
    <w:rsid w:val="003F25A9"/>
    <w:rsid w:val="004E3625"/>
    <w:rsid w:val="005A4696"/>
    <w:rsid w:val="005C5011"/>
    <w:rsid w:val="006B01D0"/>
    <w:rsid w:val="006D42F9"/>
    <w:rsid w:val="0074754A"/>
    <w:rsid w:val="00A05CD3"/>
    <w:rsid w:val="00AC0ADB"/>
    <w:rsid w:val="00BD7A4D"/>
    <w:rsid w:val="00BF5208"/>
    <w:rsid w:val="00CB5957"/>
    <w:rsid w:val="00E26D8E"/>
    <w:rsid w:val="00E53CE5"/>
    <w:rsid w:val="00E66397"/>
    <w:rsid w:val="00EB7C0A"/>
    <w:rsid w:val="00F427ED"/>
    <w:rsid w:val="00F77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B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30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E3625"/>
    <w:pPr>
      <w:ind w:left="720"/>
      <w:contextualSpacing/>
    </w:pPr>
  </w:style>
  <w:style w:type="paragraph" w:styleId="Header">
    <w:name w:val="header"/>
    <w:basedOn w:val="Normal"/>
    <w:link w:val="HeaderChar"/>
    <w:uiPriority w:val="99"/>
    <w:semiHidden/>
    <w:unhideWhenUsed/>
    <w:rsid w:val="002E56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56A2"/>
  </w:style>
  <w:style w:type="paragraph" w:styleId="Footer">
    <w:name w:val="footer"/>
    <w:basedOn w:val="Normal"/>
    <w:link w:val="FooterChar"/>
    <w:uiPriority w:val="99"/>
    <w:unhideWhenUsed/>
    <w:rsid w:val="002E5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6A2"/>
  </w:style>
  <w:style w:type="character" w:styleId="Hyperlink">
    <w:name w:val="Hyperlink"/>
    <w:basedOn w:val="DefaultParagraphFont"/>
    <w:uiPriority w:val="99"/>
    <w:semiHidden/>
    <w:unhideWhenUsed/>
    <w:rsid w:val="001E7A1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 David Wessels</dc:creator>
  <cp:lastModifiedBy>David Wessels</cp:lastModifiedBy>
  <cp:revision>21</cp:revision>
  <dcterms:created xsi:type="dcterms:W3CDTF">2010-03-22T17:13:00Z</dcterms:created>
  <dcterms:modified xsi:type="dcterms:W3CDTF">2010-07-13T21:27:00Z</dcterms:modified>
</cp:coreProperties>
</file>